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exact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>
      <w:pPr>
        <w:pStyle w:val="NoSpacing"/>
        <w:spacing w:lineRule="exact" w:line="24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о ходе выполнения Перечня </w:t>
      </w:r>
      <w:r>
        <w:rPr>
          <w:rStyle w:val="FontStyle11"/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 xml:space="preserve">по содействию развитию конкуренции в Ставропольском крае </w:t>
      </w:r>
    </w:p>
    <w:p>
      <w:pPr>
        <w:pStyle w:val="NoSpacing"/>
        <w:spacing w:lineRule="exact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Петровского городского округа Ставропольского края за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>
      <w:pPr>
        <w:pStyle w:val="NoSpacing"/>
        <w:spacing w:lineRule="exact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4"/>
        <w:tblW w:w="157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8"/>
        <w:gridCol w:w="2900"/>
        <w:gridCol w:w="4126"/>
        <w:gridCol w:w="1516"/>
        <w:gridCol w:w="1331"/>
        <w:gridCol w:w="1560"/>
        <w:gridCol w:w="3509"/>
      </w:tblGrid>
      <w:tr>
        <w:trPr>
          <w:trHeight w:val="855" w:hRule="atLeast"/>
        </w:trPr>
        <w:tc>
          <w:tcPr>
            <w:tcW w:w="75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</w:p>
        </w:tc>
        <w:tc>
          <w:tcPr>
            <w:tcW w:w="290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товарного рынка</w:t>
            </w:r>
          </w:p>
        </w:tc>
        <w:tc>
          <w:tcPr>
            <w:tcW w:w="412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ключевого показателя</w:t>
            </w:r>
          </w:p>
        </w:tc>
        <w:tc>
          <w:tcPr>
            <w:tcW w:w="151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Единица измерения ключевого показателя</w:t>
            </w:r>
          </w:p>
        </w:tc>
        <w:tc>
          <w:tcPr>
            <w:tcW w:w="289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Значение ключевого показателя 202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0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Результат исполнения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45" w:hRule="atLeast"/>
        </w:trPr>
        <w:tc>
          <w:tcPr>
            <w:tcW w:w="7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90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Плановое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Фактическое</w:t>
            </w:r>
          </w:p>
        </w:tc>
        <w:tc>
          <w:tcPr>
            <w:tcW w:w="350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900" w:type="dxa"/>
            <w:tcBorders/>
          </w:tcPr>
          <w:p>
            <w:pPr>
              <w:pStyle w:val="Style16"/>
              <w:widowControl w:val="false"/>
              <w:shd w:val="clear" w:color="auto" w:fill="auto"/>
              <w:spacing w:lineRule="exact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widowControl w:val="false"/>
              <w:shd w:val="clear" w:color="auto" w:fill="auto"/>
              <w:spacing w:lineRule="exact" w:line="240" w:before="0" w:after="0"/>
              <w:jc w:val="both"/>
              <w:rPr/>
            </w:pPr>
            <w:r>
              <w:rPr>
                <w:rStyle w:val="1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Рынок выполнения работ по благоустройству городской среды </w:t>
            </w:r>
          </w:p>
        </w:tc>
        <w:tc>
          <w:tcPr>
            <w:tcW w:w="4126" w:type="dxa"/>
            <w:tcBorders/>
          </w:tcPr>
          <w:p>
            <w:pPr>
              <w:pStyle w:val="Normal"/>
              <w:widowControl/>
              <w:spacing w:lineRule="exact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exact" w:line="240" w:before="0" w:after="0"/>
              <w:jc w:val="both"/>
              <w:rPr/>
            </w:pPr>
            <w:r>
              <w:rPr>
                <w:rStyle w:val="1"/>
                <w:rFonts w:eastAsia="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Style w:val="1"/>
                <w:rFonts w:eastAsia="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процентов</w:t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83,27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3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Реализация услуг оказываемых организациями частной формы собственности в сфере выполнения работ по благоустройству городской среды Петровского городского округа Ставропольского края выполнена в полном объеме.</w:t>
            </w:r>
          </w:p>
        </w:tc>
      </w:tr>
      <w:tr>
        <w:trPr/>
        <w:tc>
          <w:tcPr>
            <w:tcW w:w="7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lineRule="exact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exact" w:line="240" w:before="0" w:after="0"/>
              <w:jc w:val="both"/>
              <w:rPr/>
            </w:pPr>
            <w:r>
              <w:rPr>
                <w:rStyle w:val="1"/>
                <w:rFonts w:eastAsia="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Рынок оказания услуг по перевозке пассажиров автомобильным транспор</w:t>
              <w:softHyphen/>
              <w:t>том по муниципальным маршрутам регулярных перевозок</w:t>
            </w:r>
          </w:p>
        </w:tc>
        <w:tc>
          <w:tcPr>
            <w:tcW w:w="4126" w:type="dxa"/>
            <w:tcBorders/>
          </w:tcPr>
          <w:p>
            <w:pPr>
              <w:pStyle w:val="Style16"/>
              <w:widowControl w:val="false"/>
              <w:shd w:val="clear" w:color="auto" w:fill="auto"/>
              <w:spacing w:lineRule="exact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widowControl w:val="false"/>
              <w:shd w:val="clear" w:color="auto" w:fill="auto"/>
              <w:spacing w:lineRule="exact" w:line="240" w:before="0" w:after="0"/>
              <w:jc w:val="both"/>
              <w:rPr/>
            </w:pPr>
            <w:r>
              <w:rPr>
                <w:rStyle w:val="1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доля услуг (работ) по перевозке пассажиров автомо</w:t>
              <w:softHyphen/>
              <w:t>бильным транспортом по муниципальным маршрутам регулярных перевозок, ока</w:t>
              <w:softHyphen/>
              <w:t>занных (выполненных) организациями частной формы собственности</w:t>
            </w:r>
          </w:p>
        </w:tc>
        <w:tc>
          <w:tcPr>
            <w:tcW w:w="1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Style w:val="1"/>
                <w:rFonts w:eastAsia="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процентов</w:t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99,03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3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Услуги (работы) в сфере перевозок пассажиров автомобильным транспортом по муниципальным маршрутам регулярных перевозок в Петровском городском округе Ставропольского края организациями частной формы собственности оказаны (выполнены) в полном объеме.</w:t>
            </w:r>
          </w:p>
        </w:tc>
      </w:tr>
      <w:tr>
        <w:trPr/>
        <w:tc>
          <w:tcPr>
            <w:tcW w:w="7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1"/>
                <w:rFonts w:eastAsia="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Сфера наружной рекламы</w:t>
            </w:r>
          </w:p>
        </w:tc>
        <w:tc>
          <w:tcPr>
            <w:tcW w:w="4126" w:type="dxa"/>
            <w:tcBorders/>
          </w:tcPr>
          <w:p>
            <w:pPr>
              <w:pStyle w:val="21"/>
              <w:widowControl w:val="false"/>
              <w:shd w:val="clear" w:color="auto" w:fill="auto"/>
              <w:spacing w:lineRule="exact" w:line="2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21"/>
              <w:widowControl w:val="false"/>
              <w:shd w:val="clear" w:color="auto" w:fill="auto"/>
              <w:spacing w:lineRule="exact" w:line="260" w:before="0" w:after="0"/>
              <w:rPr/>
            </w:pPr>
            <w:r>
              <w:rPr>
                <w:rStyle w:val="1"/>
                <w:rFonts w:eastAsia="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доля организаций частной формы собственности в </w:t>
            </w:r>
            <w:r>
              <w:rPr>
                <w:rStyle w:val="2"/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сфере наружной рекламы</w:t>
            </w:r>
          </w:p>
        </w:tc>
        <w:tc>
          <w:tcPr>
            <w:tcW w:w="1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Style w:val="1"/>
                <w:rFonts w:eastAsia="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процентов</w:t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3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За 2022 год администрацией Петровского городского округа Ставропольского выдано 1 разрешение на установку и эксплуатацию рекламных конструкций организациям частной формы собственности.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7bc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basedOn w:val="DefaultParagraphFont"/>
    <w:uiPriority w:val="99"/>
    <w:qFormat/>
    <w:rsid w:val="00507661"/>
    <w:rPr>
      <w:rFonts w:ascii="Times New Roman" w:hAnsi="Times New Roman" w:cs="Times New Roman"/>
      <w:sz w:val="28"/>
      <w:szCs w:val="28"/>
    </w:rPr>
  </w:style>
  <w:style w:type="character" w:styleId="Style14" w:customStyle="1">
    <w:name w:val="Основной текст Знак"/>
    <w:basedOn w:val="DefaultParagraphFont"/>
    <w:link w:val="a5"/>
    <w:uiPriority w:val="99"/>
    <w:semiHidden/>
    <w:qFormat/>
    <w:rsid w:val="0037766f"/>
    <w:rPr/>
  </w:style>
  <w:style w:type="character" w:styleId="1" w:customStyle="1">
    <w:name w:val="Основной текст Знак1"/>
    <w:basedOn w:val="DefaultParagraphFont"/>
    <w:link w:val="a5"/>
    <w:uiPriority w:val="99"/>
    <w:qFormat/>
    <w:locked/>
    <w:rsid w:val="0037766f"/>
    <w:rPr>
      <w:rFonts w:ascii="Times New Roman" w:hAnsi="Times New Roman" w:eastAsia="Times New Roman" w:cs="Times New Roman"/>
      <w:spacing w:val="-4"/>
      <w:sz w:val="26"/>
      <w:szCs w:val="26"/>
      <w:shd w:fill="FFFFFF" w:val="clear"/>
    </w:rPr>
  </w:style>
  <w:style w:type="character" w:styleId="2" w:customStyle="1">
    <w:name w:val="Подпись к таблице (2)_"/>
    <w:basedOn w:val="DefaultParagraphFont"/>
    <w:link w:val="20"/>
    <w:uiPriority w:val="99"/>
    <w:qFormat/>
    <w:locked/>
    <w:rsid w:val="001565bc"/>
    <w:rPr>
      <w:spacing w:val="-4"/>
      <w:sz w:val="26"/>
      <w:szCs w:val="26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link w:val="1"/>
    <w:uiPriority w:val="99"/>
    <w:unhideWhenUsed/>
    <w:rsid w:val="0037766f"/>
    <w:pPr>
      <w:widowControl w:val="false"/>
      <w:shd w:val="clear" w:color="auto" w:fill="FFFFFF"/>
      <w:spacing w:lineRule="exact" w:line="638" w:before="240" w:after="240"/>
    </w:pPr>
    <w:rPr>
      <w:rFonts w:ascii="Times New Roman" w:hAnsi="Times New Roman" w:eastAsia="Times New Roman" w:cs="Times New Roman"/>
      <w:spacing w:val="-4"/>
      <w:sz w:val="26"/>
      <w:szCs w:val="26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Spacing">
    <w:name w:val="No Spacing"/>
    <w:uiPriority w:val="1"/>
    <w:qFormat/>
    <w:rsid w:val="0050766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21" w:customStyle="1">
    <w:name w:val="Подпись к таблице (2)"/>
    <w:basedOn w:val="Normal"/>
    <w:link w:val="2"/>
    <w:uiPriority w:val="99"/>
    <w:qFormat/>
    <w:rsid w:val="001565bc"/>
    <w:pPr>
      <w:widowControl w:val="false"/>
      <w:shd w:val="clear" w:color="auto" w:fill="FFFFFF"/>
      <w:spacing w:lineRule="exact" w:line="322" w:before="0" w:after="0"/>
      <w:jc w:val="both"/>
    </w:pPr>
    <w:rPr>
      <w:spacing w:val="-4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0766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LibreOffice/7.2.7.2$Linux_X86_64 LibreOffice_project/20$Build-2</Application>
  <AppVersion>15.0000</AppVersion>
  <Pages>1</Pages>
  <Words>191</Words>
  <Characters>1445</Characters>
  <CharactersWithSpaces>1608</CharactersWithSpaces>
  <Paragraphs>32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2023-01-18T15:55:00Z</dcterms:created>
  <dc:creator>tarasov</dc:creator>
  <dc:description/>
  <dc:language>ru-RU</dc:language>
  <cp:lastModifiedBy/>
  <cp:lastPrinted>2023-01-18T16:03:55Z</cp:lastPrinted>
  <dcterms:modified xsi:type="dcterms:W3CDTF">2023-01-18T16:30:15Z</dcterms:modified>
  <cp:revision>17</cp:revision>
  <dc:subject/>
  <dc:title>Распоряжение Губернатора Ставропольского края от 10.09.2019 N 466-р(ред. от 05.07.2022)"О некоторых мерах по внедрению стандарта развития конкуренции в субъектах Российской Федерации в Ставропольском крае"(вместе с "Перечнем товарных рынков для содействия развитию конкуренции в Ставропольском крае", "Планом мероприятий ("дорожной картой") по содействию развитию конкуренции в Ставропольском крае")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