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center"/>
        <w:rPr>
          <w:rFonts w:ascii="Times New Roman" w:hAnsi="Times New Roman"/>
          <w:sz w:val="28"/>
          <w:szCs w:val="28"/>
        </w:rPr>
      </w:pPr>
      <w:r>
        <w:rPr/>
      </w:r>
    </w:p>
    <w:p>
      <w:pPr>
        <w:pStyle w:val="NoSpacing"/>
        <w:spacing w:lineRule="exact" w:line="240"/>
        <w:jc w:val="center"/>
        <w:rPr>
          <w:rFonts w:ascii="Times New Roman" w:hAnsi="Times New Roman"/>
          <w:sz w:val="28"/>
          <w:szCs w:val="28"/>
        </w:rPr>
      </w:pPr>
      <w:r>
        <w:rPr>
          <w:rFonts w:ascii="Times New Roman" w:hAnsi="Times New Roman"/>
          <w:sz w:val="28"/>
          <w:szCs w:val="28"/>
        </w:rPr>
        <w:t>ИНФОРМАЦИЯ</w:t>
      </w:r>
    </w:p>
    <w:p>
      <w:pPr>
        <w:pStyle w:val="NoSpacing"/>
        <w:spacing w:lineRule="exact" w:line="240"/>
        <w:jc w:val="center"/>
        <w:rPr>
          <w:rFonts w:ascii="Times New Roman" w:hAnsi="Times New Roman"/>
          <w:sz w:val="28"/>
          <w:szCs w:val="28"/>
        </w:rPr>
      </w:pPr>
      <w:r>
        <w:rPr>
          <w:rFonts w:ascii="Times New Roman" w:hAnsi="Times New Roman"/>
          <w:sz w:val="28"/>
          <w:szCs w:val="28"/>
        </w:rPr>
        <w:t xml:space="preserve">о ходе выполнения Перечня </w:t>
      </w:r>
      <w:r>
        <w:rPr>
          <w:rStyle w:val="FontStyle11"/>
        </w:rPr>
        <w:t xml:space="preserve">мероприятий </w:t>
      </w:r>
      <w:r>
        <w:rPr>
          <w:rFonts w:ascii="Times New Roman" w:hAnsi="Times New Roman"/>
          <w:sz w:val="28"/>
          <w:szCs w:val="28"/>
        </w:rPr>
        <w:t>по содействию развитию конкуренции</w:t>
      </w:r>
    </w:p>
    <w:p>
      <w:pPr>
        <w:pStyle w:val="NoSpacing"/>
        <w:spacing w:lineRule="exact" w:line="240"/>
        <w:jc w:val="center"/>
        <w:rPr>
          <w:rFonts w:ascii="Times New Roman" w:hAnsi="Times New Roman"/>
          <w:sz w:val="28"/>
          <w:szCs w:val="28"/>
        </w:rPr>
      </w:pPr>
      <w:r>
        <w:rPr>
          <w:rFonts w:ascii="Times New Roman" w:hAnsi="Times New Roman"/>
          <w:sz w:val="28"/>
          <w:szCs w:val="28"/>
        </w:rPr>
        <w:t>на территории Петровского городского округа Ставропольского края за 2022 год</w:t>
      </w:r>
    </w:p>
    <w:p>
      <w:pPr>
        <w:pStyle w:val="NoSpacing"/>
        <w:spacing w:lineRule="exact" w:line="240"/>
        <w:jc w:val="center"/>
        <w:rPr>
          <w:rFonts w:ascii="Times New Roman" w:hAnsi="Times New Roman"/>
          <w:sz w:val="28"/>
          <w:szCs w:val="28"/>
        </w:rPr>
      </w:pPr>
      <w:r>
        <w:rPr>
          <w:rFonts w:ascii="Times New Roman" w:hAnsi="Times New Roman"/>
          <w:sz w:val="28"/>
          <w:szCs w:val="28"/>
        </w:rPr>
      </w:r>
    </w:p>
    <w:p>
      <w:pPr>
        <w:pStyle w:val="NoSpacing"/>
        <w:spacing w:lineRule="exact" w:line="240"/>
        <w:jc w:val="center"/>
        <w:rPr>
          <w:rFonts w:ascii="Times New Roman" w:hAnsi="Times New Roman"/>
          <w:sz w:val="28"/>
          <w:szCs w:val="28"/>
        </w:rPr>
      </w:pPr>
      <w:r>
        <w:rPr>
          <w:rFonts w:ascii="Times New Roman" w:hAnsi="Times New Roman"/>
          <w:sz w:val="28"/>
          <w:szCs w:val="28"/>
        </w:rPr>
      </w:r>
    </w:p>
    <w:tbl>
      <w:tblPr>
        <w:tblStyle w:val="a4"/>
        <w:tblW w:w="15876" w:type="dxa"/>
        <w:jc w:val="left"/>
        <w:tblInd w:w="0" w:type="dxa"/>
        <w:tblLayout w:type="fixed"/>
        <w:tblCellMar>
          <w:top w:w="0" w:type="dxa"/>
          <w:left w:w="108" w:type="dxa"/>
          <w:bottom w:w="0" w:type="dxa"/>
          <w:right w:w="108" w:type="dxa"/>
        </w:tblCellMar>
        <w:tblLook w:val="04a0"/>
      </w:tblPr>
      <w:tblGrid>
        <w:gridCol w:w="504"/>
        <w:gridCol w:w="2548"/>
        <w:gridCol w:w="2677"/>
        <w:gridCol w:w="1332"/>
        <w:gridCol w:w="1307"/>
        <w:gridCol w:w="1562"/>
        <w:gridCol w:w="5945"/>
      </w:tblGrid>
      <w:tr>
        <w:trPr>
          <w:trHeight w:val="855" w:hRule="atLeast"/>
        </w:trPr>
        <w:tc>
          <w:tcPr>
            <w:tcW w:w="504"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w:t>
            </w:r>
          </w:p>
        </w:tc>
        <w:tc>
          <w:tcPr>
            <w:tcW w:w="254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Наименование товарного рынка</w:t>
            </w:r>
          </w:p>
        </w:tc>
        <w:tc>
          <w:tcPr>
            <w:tcW w:w="2677"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Наименование ключевого показателя</w:t>
            </w:r>
          </w:p>
        </w:tc>
        <w:tc>
          <w:tcPr>
            <w:tcW w:w="1332"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Единица измерения ключевого показателя</w:t>
            </w:r>
          </w:p>
        </w:tc>
        <w:tc>
          <w:tcPr>
            <w:tcW w:w="2869"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Значение ключевого показателя в 2022 г.</w:t>
            </w:r>
          </w:p>
        </w:tc>
        <w:tc>
          <w:tcPr>
            <w:tcW w:w="5945"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Результат исполнения</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r>
      <w:tr>
        <w:trPr>
          <w:trHeight w:val="245" w:hRule="atLeast"/>
        </w:trPr>
        <w:tc>
          <w:tcPr>
            <w:tcW w:w="504"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54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2677"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332"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130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Плановое</w:t>
            </w:r>
          </w:p>
        </w:tc>
        <w:tc>
          <w:tcPr>
            <w:tcW w:w="1562"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Фактическое</w:t>
            </w:r>
          </w:p>
        </w:tc>
        <w:tc>
          <w:tcPr>
            <w:tcW w:w="5945"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услуг дошкольного образования</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на рынке услуг дошкольного образования</w:t>
            </w:r>
          </w:p>
        </w:tc>
        <w:tc>
          <w:tcPr>
            <w:tcW w:w="1332"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2"/>
                <w:szCs w:val="24"/>
              </w:rPr>
            </w:r>
          </w:p>
          <w:p>
            <w:pPr>
              <w:pStyle w:val="Normal"/>
              <w:widowControl w:val="false"/>
              <w:suppressAutoHyphens w:val="true"/>
              <w:spacing w:lineRule="auto" w:line="240" w:before="0" w:after="0"/>
              <w:jc w:val="center"/>
              <w:rPr>
                <w:rStyle w:val="1"/>
                <w:rFonts w:eastAsia="" w:eastAsiaTheme="minorEastAsia"/>
                <w:sz w:val="24"/>
                <w:szCs w:val="24"/>
              </w:rPr>
            </w:pPr>
            <w:r>
              <w:rPr>
                <w:rFonts w:cs="" w:ascii="Times New Roman" w:hAnsi="Times New Roman"/>
                <w:kern w:val="0"/>
                <w:sz w:val="24"/>
                <w:szCs w:val="24"/>
                <w:lang w:val="ru-RU" w:eastAsia="ru-RU" w:bidi="ar-SA"/>
              </w:rPr>
              <w:t>единиц</w:t>
            </w:r>
          </w:p>
        </w:tc>
        <w:tc>
          <w:tcPr>
            <w:tcW w:w="1307"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w:t>
            </w:r>
          </w:p>
        </w:tc>
        <w:tc>
          <w:tcPr>
            <w:tcW w:w="156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3,2</w:t>
            </w:r>
          </w:p>
        </w:tc>
        <w:tc>
          <w:tcPr>
            <w:tcW w:w="594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 состоянию на 31.12.2022 г. общая численность обучающихся дошкольного возраста в муниципальных дошкольных образовательных организациях Петровского городского округа, реализующих основные общеобразовательные программы образовательные программы дошкольного образования</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составляет 2831 чел.</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Действующие организации (в том числе филиалы) частной формы собственности, оказывающие образовательные услуги в сфере дошкольного образования, на территории Петровского городского округа отсутствуют.</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Альтернативными (вариативными) формами дошкольного образования являются группы кратковременного пребывания, организованные индивидуальными предпринимателями:</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ИП Карапетян С.И.- «Центр раннего развития детей «Радуга»,</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Калашникова С.Н. (самозанятое население) - группа кратковременного</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пребывания по подготовке детей к школе, логопедическая помощь и дополнительные занятия с детьми младшего школьного возраста.</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Количество детей дошкольного возраста, которым в 2022 году оказаны услуги дошкольного образования индивидуальными предпринимателями, реализующими образовательные программы дошкольного образования, составляет 90 чел.</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Значение ключевого показателя «Развитие конкуренции на рынке услуг дошкольного образования» за 2022 год составляет:</w:t>
            </w:r>
          </w:p>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en-US" w:eastAsia="ru-RU" w:bidi="ar-SA"/>
              </w:rPr>
              <w:t>V</w:t>
            </w:r>
            <w:r>
              <w:rPr>
                <w:rFonts w:eastAsia="" w:cs="Times New Roman" w:ascii="Times New Roman" w:hAnsi="Times New Roman"/>
                <w:kern w:val="0"/>
                <w:sz w:val="24"/>
                <w:szCs w:val="24"/>
                <w:vertAlign w:val="subscript"/>
                <w:lang w:val="ru-RU" w:eastAsia="ru-RU" w:bidi="ar-SA"/>
              </w:rPr>
              <w:t>кп</w:t>
            </w:r>
            <w:r>
              <w:rPr>
                <w:rFonts w:eastAsia="" w:cs="Times New Roman" w:ascii="Times New Roman" w:hAnsi="Times New Roman"/>
                <w:kern w:val="0"/>
                <w:sz w:val="24"/>
                <w:szCs w:val="24"/>
                <w:lang w:val="ru-RU" w:eastAsia="ru-RU" w:bidi="ar-SA"/>
              </w:rPr>
              <w:t>=</w:t>
            </w:r>
            <w:r>
              <w:rPr>
                <w:rFonts w:eastAsia="" w:cs="Times New Roman" w:ascii="Times New Roman" w:hAnsi="Times New Roman"/>
                <w:kern w:val="0"/>
                <w:sz w:val="24"/>
                <w:szCs w:val="24"/>
                <w:lang w:val="en-US" w:eastAsia="ru-RU" w:bidi="ar-SA"/>
              </w:rPr>
              <w:t>V</w:t>
            </w:r>
            <w:r>
              <w:rPr>
                <w:rFonts w:eastAsia="" w:cs="Times New Roman" w:ascii="Times New Roman" w:hAnsi="Times New Roman"/>
                <w:kern w:val="0"/>
                <w:sz w:val="24"/>
                <w:szCs w:val="24"/>
                <w:vertAlign w:val="subscript"/>
                <w:lang w:val="en-US" w:eastAsia="ru-RU" w:bidi="ar-SA"/>
              </w:rPr>
              <w:t>n</w:t>
            </w:r>
            <w:r>
              <w:rPr>
                <w:rFonts w:eastAsia="" w:cs="Times New Roman" w:ascii="Times New Roman" w:hAnsi="Times New Roman"/>
                <w:kern w:val="0"/>
                <w:sz w:val="24"/>
                <w:szCs w:val="24"/>
                <w:lang w:val="en-US" w:eastAsia="ru-RU" w:bidi="ar-SA"/>
              </w:rPr>
              <w:t>\V</w:t>
            </w:r>
            <w:r>
              <w:rPr>
                <w:rFonts w:eastAsia="" w:cs="Times New Roman" w:ascii="Times New Roman" w:hAnsi="Times New Roman"/>
                <w:kern w:val="0"/>
                <w:sz w:val="24"/>
                <w:szCs w:val="24"/>
                <w:vertAlign w:val="subscript"/>
                <w:lang w:val="en-US" w:eastAsia="ru-RU" w:bidi="ar-SA"/>
              </w:rPr>
              <w:t>o</w:t>
            </w:r>
            <w:r>
              <w:rPr>
                <w:rFonts w:eastAsia="" w:cs="Times New Roman" w:ascii="Times New Roman" w:hAnsi="Times New Roman"/>
                <w:kern w:val="0"/>
                <w:sz w:val="24"/>
                <w:szCs w:val="24"/>
                <w:lang w:val="en-US" w:eastAsia="ru-RU" w:bidi="ar-SA"/>
              </w:rPr>
              <w:t>x100%=</w:t>
            </w:r>
            <w:r>
              <w:rPr>
                <w:rFonts w:eastAsia="" w:cs="Times New Roman" w:ascii="Times New Roman" w:hAnsi="Times New Roman"/>
                <w:kern w:val="0"/>
                <w:sz w:val="24"/>
                <w:szCs w:val="24"/>
                <w:lang w:val="ru-RU" w:eastAsia="ru-RU" w:bidi="ar-SA"/>
              </w:rPr>
              <w:t>90/2831</w:t>
            </w:r>
            <w:r>
              <w:rPr>
                <w:rFonts w:eastAsia="" w:cs="Times New Roman" w:ascii="Times New Roman" w:hAnsi="Times New Roman"/>
                <w:kern w:val="0"/>
                <w:sz w:val="24"/>
                <w:szCs w:val="24"/>
                <w:lang w:val="en-US" w:eastAsia="ru-RU" w:bidi="ar-SA"/>
              </w:rPr>
              <w:t>x100%=</w:t>
            </w:r>
            <w:r>
              <w:rPr>
                <w:rFonts w:eastAsia="" w:cs="Times New Roman" w:ascii="Times New Roman" w:hAnsi="Times New Roman"/>
                <w:kern w:val="0"/>
                <w:sz w:val="24"/>
                <w:szCs w:val="24"/>
                <w:lang w:val="ru-RU" w:eastAsia="ru-RU" w:bidi="ar-SA"/>
              </w:rPr>
              <w:t>3,2</w:t>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услуг розничной торговли лекарственными препаратами, медицинскими изделиями и сопутствующими товарами</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в Ставропольском крае конкуренции на рынке услуг розничной торговли лекарственными препаратами, медицинскими изделиями и сопутствующими товарами</w:t>
            </w:r>
          </w:p>
        </w:tc>
        <w:tc>
          <w:tcPr>
            <w:tcW w:w="1332" w:type="dxa"/>
            <w:tcBorders/>
          </w:tcPr>
          <w:p>
            <w:pPr>
              <w:pStyle w:val="Normal"/>
              <w:widowControl w:val="false"/>
              <w:suppressAutoHyphens w:val="true"/>
              <w:spacing w:lineRule="auto" w:line="240" w:before="0" w:after="0"/>
              <w:jc w:val="center"/>
              <w:rPr>
                <w:rFonts w:ascii="Times New Roman" w:hAnsi="Times New Roman" w:eastAsia="Times New Roman"/>
                <w:sz w:val="24"/>
                <w:szCs w:val="24"/>
              </w:rPr>
            </w:pPr>
            <w:r>
              <w:rPr>
                <w:rFonts w:eastAsia="Times New Roman" w:ascii="Times New Roman" w:hAnsi="Times New Roman"/>
                <w:sz w:val="22"/>
                <w:szCs w:val="24"/>
              </w:rPr>
            </w:r>
          </w:p>
          <w:p>
            <w:pPr>
              <w:pStyle w:val="Normal"/>
              <w:widowControl w:val="false"/>
              <w:suppressAutoHyphens w:val="true"/>
              <w:spacing w:lineRule="auto" w:line="240" w:before="0" w:after="0"/>
              <w:jc w:val="center"/>
              <w:rPr>
                <w:rStyle w:val="1"/>
                <w:rFonts w:eastAsia="" w:eastAsiaTheme="minorEastAsia"/>
                <w:sz w:val="24"/>
                <w:szCs w:val="24"/>
              </w:rPr>
            </w:pPr>
            <w:r>
              <w:rPr>
                <w:rFonts w:eastAsia="Times New Roman" w:cs="" w:ascii="Times New Roman" w:hAnsi="Times New Roman"/>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eastAsia="Times New Roman"/>
                <w:sz w:val="24"/>
                <w:szCs w:val="24"/>
              </w:rPr>
            </w:pPr>
            <w:r>
              <w:rPr>
                <w:rFonts w:eastAsia="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ascii="Times New Roman" w:hAnsi="Times New Roman"/>
                <w:kern w:val="0"/>
                <w:sz w:val="24"/>
                <w:szCs w:val="24"/>
                <w:lang w:val="ru-RU" w:eastAsia="ru-RU" w:bidi="ar-SA"/>
              </w:rPr>
              <w:t>95,00</w:t>
            </w:r>
          </w:p>
        </w:tc>
        <w:tc>
          <w:tcPr>
            <w:tcW w:w="156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tc>
        <w:tc>
          <w:tcPr>
            <w:tcW w:w="5945" w:type="dxa"/>
            <w:tcBorders/>
          </w:tcPr>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На территории Петровского городского округа осуществляют свою деятельность 33 аптечных учреждения частной формы собственности.</w:t>
            </w:r>
          </w:p>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В соответствии с методикой расчета ключевой показатель составит:</w:t>
            </w:r>
          </w:p>
          <w:p>
            <w:pPr>
              <w:pStyle w:val="Normal"/>
              <w:widowControl w:val="false"/>
              <w:suppressAutoHyphens w:val="true"/>
              <w:spacing w:lineRule="auto" w:line="240" w:before="0" w:after="0"/>
              <w:jc w:val="both"/>
              <w:rPr>
                <w:rFonts w:ascii="Times New Roman" w:hAnsi="Times New Roman" w:cs="Times New Roman"/>
                <w:color w:val="FF0000"/>
                <w:sz w:val="24"/>
                <w:szCs w:val="24"/>
              </w:rPr>
            </w:pPr>
            <w:r>
              <w:rPr>
                <w:rFonts w:eastAsia="Times New Roman" w:cs="Times New Roman" w:ascii="Times New Roman" w:hAnsi="Times New Roman"/>
                <w:kern w:val="0"/>
                <w:sz w:val="24"/>
                <w:szCs w:val="24"/>
                <w:lang w:val="en-US" w:eastAsia="ru-RU" w:bidi="ar-SA"/>
              </w:rPr>
              <w:t>V</w:t>
            </w: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lang w:val="en-US" w:eastAsia="ru-RU" w:bidi="ar-SA"/>
              </w:rPr>
              <w:t>V</w:t>
            </w:r>
            <w:r>
              <w:rPr>
                <w:rFonts w:eastAsia="Times New Roman" w:cs="Times New Roman" w:ascii="Times New Roman" w:hAnsi="Times New Roman"/>
                <w:kern w:val="0"/>
                <w:sz w:val="24"/>
                <w:szCs w:val="24"/>
                <w:vertAlign w:val="subscript"/>
                <w:lang w:val="en-US" w:eastAsia="ru-RU" w:bidi="ar-SA"/>
              </w:rPr>
              <w:t>n</w:t>
            </w: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lang w:val="en-US" w:eastAsia="ru-RU" w:bidi="ar-SA"/>
              </w:rPr>
              <w:t>V</w:t>
            </w:r>
            <w:r>
              <w:rPr>
                <w:rFonts w:eastAsia="Times New Roman" w:cs="Times New Roman" w:ascii="Times New Roman" w:hAnsi="Times New Roman"/>
                <w:kern w:val="0"/>
                <w:sz w:val="24"/>
                <w:szCs w:val="24"/>
                <w:vertAlign w:val="subscript"/>
                <w:lang w:val="en-US" w:eastAsia="ru-RU" w:bidi="ar-SA"/>
              </w:rPr>
              <w:t>o</w:t>
            </w:r>
            <w:r>
              <w:rPr>
                <w:rFonts w:eastAsia="Times New Roman" w:cs="Times New Roman" w:ascii="Times New Roman" w:hAnsi="Times New Roman"/>
                <w:kern w:val="0"/>
                <w:sz w:val="24"/>
                <w:szCs w:val="24"/>
                <w:lang w:val="en-US" w:eastAsia="ru-RU" w:bidi="ar-SA"/>
              </w:rPr>
              <w:t>x</w:t>
            </w:r>
            <w:r>
              <w:rPr>
                <w:rFonts w:eastAsia="Times New Roman" w:cs="Times New Roman" w:ascii="Times New Roman" w:hAnsi="Times New Roman"/>
                <w:kern w:val="0"/>
                <w:sz w:val="24"/>
                <w:szCs w:val="24"/>
                <w:lang w:val="ru-RU" w:eastAsia="ru-RU" w:bidi="ar-SA"/>
              </w:rPr>
              <w:t>100%=33/33</w:t>
            </w:r>
            <w:r>
              <w:rPr>
                <w:rFonts w:eastAsia="Times New Roman" w:cs="Times New Roman" w:ascii="Times New Roman" w:hAnsi="Times New Roman"/>
                <w:kern w:val="0"/>
                <w:sz w:val="24"/>
                <w:szCs w:val="24"/>
                <w:lang w:val="en-US" w:eastAsia="ru-RU" w:bidi="ar-SA"/>
              </w:rPr>
              <w:t>x</w:t>
            </w:r>
            <w:r>
              <w:rPr>
                <w:rFonts w:eastAsia="Times New Roman" w:cs="Times New Roman" w:ascii="Times New Roman" w:hAnsi="Times New Roman"/>
                <w:kern w:val="0"/>
                <w:sz w:val="24"/>
                <w:szCs w:val="24"/>
                <w:lang w:val="ru-RU" w:eastAsia="ru-RU" w:bidi="ar-SA"/>
              </w:rPr>
              <w:t>100%=100%</w:t>
            </w:r>
          </w:p>
        </w:tc>
      </w:tr>
      <w:tr>
        <w:trPr/>
        <w:tc>
          <w:tcPr>
            <w:tcW w:w="504" w:type="dxa"/>
            <w:tcBorders/>
          </w:tcPr>
          <w:p>
            <w:pPr>
              <w:pStyle w:val="Normal"/>
              <w:widowControl w:val="false"/>
              <w:suppressAutoHyphens w:val="true"/>
              <w:spacing w:lineRule="auto" w:line="240" w:before="0" w:after="0"/>
              <w:jc w:val="center"/>
              <w:rPr>
                <w:rFonts w:ascii="Times New Roman" w:hAnsi="Times New Roman" w:eastAsia="" w:cs="Times New Roman"/>
                <w:b w:val="false"/>
                <w:b w:val="false"/>
                <w:bCs w:val="false"/>
                <w:kern w:val="0"/>
                <w:sz w:val="24"/>
                <w:szCs w:val="24"/>
                <w:lang w:val="ru-RU" w:eastAsia="ru-RU" w:bidi="ar-SA"/>
              </w:rPr>
            </w:pPr>
            <w:r>
              <w:rPr>
                <w:rFonts w:eastAsia="" w:cs="Times New Roman" w:ascii="Times New Roman" w:hAnsi="Times New Roman"/>
                <w:b w:val="false"/>
                <w:bCs w:val="false"/>
                <w:kern w:val="0"/>
                <w:sz w:val="24"/>
                <w:szCs w:val="24"/>
                <w:lang w:val="ru-RU" w:eastAsia="ru-RU" w:bidi="ar-SA"/>
              </w:rPr>
              <w:t>3</w:t>
            </w:r>
          </w:p>
        </w:tc>
        <w:tc>
          <w:tcPr>
            <w:tcW w:w="2548" w:type="dxa"/>
            <w:tcBorders/>
          </w:tcPr>
          <w:p>
            <w:pPr>
              <w:pStyle w:val="Style16"/>
              <w:widowControl w:val="false"/>
              <w:shd w:val="clear" w:color="auto" w:fill="auto"/>
              <w:suppressAutoHyphens w:val="true"/>
              <w:spacing w:lineRule="exact" w:line="240" w:before="0" w:after="0"/>
              <w:jc w:val="both"/>
              <w:rPr>
                <w:b w:val="false"/>
                <w:b w:val="false"/>
                <w:bCs w:val="false"/>
              </w:rPr>
            </w:pPr>
            <w:r>
              <w:rPr>
                <w:b w:val="false"/>
                <w:bCs w:val="false"/>
                <w:kern w:val="0"/>
                <w:sz w:val="24"/>
                <w:szCs w:val="24"/>
                <w:lang w:val="ru-RU" w:eastAsia="ru-RU" w:bidi="ar-SA"/>
              </w:rPr>
              <w:t>Рынок выполнения работ по благоустройству городской среды</w:t>
            </w:r>
          </w:p>
        </w:tc>
        <w:tc>
          <w:tcPr>
            <w:tcW w:w="2677" w:type="dxa"/>
            <w:tcBorders/>
          </w:tcPr>
          <w:p>
            <w:pPr>
              <w:pStyle w:val="Normal"/>
              <w:widowControl w:val="false"/>
              <w:suppressAutoHyphens w:val="true"/>
              <w:spacing w:lineRule="exact" w:line="240" w:before="0" w:after="0"/>
              <w:jc w:val="both"/>
              <w:rPr>
                <w:b w:val="false"/>
                <w:b w:val="false"/>
                <w:bCs w:val="false"/>
              </w:rPr>
            </w:pPr>
            <w:r>
              <w:rPr>
                <w:rFonts w:cs="" w:ascii="Times New Roman" w:hAnsi="Times New Roman"/>
                <w:b w:val="false"/>
                <w:bCs w:val="false"/>
                <w:kern w:val="0"/>
                <w:sz w:val="24"/>
                <w:szCs w:val="24"/>
                <w:lang w:val="ru-RU" w:eastAsia="ru-RU" w:bidi="ar-SA"/>
              </w:rPr>
              <w:t>развитие конкуренции на рынке благоустройства городской среды</w:t>
            </w:r>
          </w:p>
        </w:tc>
        <w:tc>
          <w:tcPr>
            <w:tcW w:w="1332" w:type="dxa"/>
            <w:tcBorders/>
          </w:tcPr>
          <w:p>
            <w:pPr>
              <w:pStyle w:val="Normal"/>
              <w:widowControl w:val="false"/>
              <w:suppressAutoHyphens w:val="true"/>
              <w:spacing w:lineRule="auto" w:line="240" w:before="0" w:after="0"/>
              <w:jc w:val="center"/>
              <w:rPr>
                <w:rFonts w:ascii="Times New Roman" w:hAnsi="Times New Roman" w:eastAsia="Times New Roman" w:cs=""/>
                <w:b w:val="false"/>
                <w:b w:val="false"/>
                <w:bCs w:val="false"/>
                <w:kern w:val="0"/>
                <w:sz w:val="22"/>
                <w:szCs w:val="22"/>
                <w:lang w:val="ru-RU" w:eastAsia="ru-RU" w:bidi="ar-SA"/>
              </w:rPr>
            </w:pPr>
            <w:r>
              <w:rPr>
                <w:rFonts w:eastAsia="Times New Roman" w:cs="" w:ascii="Times New Roman" w:hAnsi="Times New Roman"/>
                <w:b w:val="false"/>
                <w:bCs w:val="false"/>
                <w:kern w:val="0"/>
                <w:sz w:val="22"/>
                <w:szCs w:val="22"/>
                <w:lang w:val="ru-RU" w:eastAsia="ru-RU" w:bidi="ar-SA"/>
              </w:rPr>
            </w:r>
          </w:p>
          <w:p>
            <w:pPr>
              <w:pStyle w:val="Normal"/>
              <w:widowControl w:val="false"/>
              <w:suppressAutoHyphens w:val="true"/>
              <w:spacing w:lineRule="auto" w:line="240" w:before="0" w:after="0"/>
              <w:jc w:val="center"/>
              <w:rPr>
                <w:b w:val="false"/>
                <w:b w:val="false"/>
                <w:bCs w:val="false"/>
              </w:rPr>
            </w:pPr>
            <w:r>
              <w:rPr>
                <w:rFonts w:eastAsia="Times New Roman" w:cs="" w:ascii="Times New Roman" w:hAnsi="Times New Roman"/>
                <w:b w:val="false"/>
                <w:bCs w:val="false"/>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eastAsia="Times New Roman" w:cs=""/>
                <w:b w:val="false"/>
                <w:b w:val="false"/>
                <w:bCs w:val="false"/>
                <w:kern w:val="0"/>
                <w:sz w:val="22"/>
                <w:szCs w:val="22"/>
                <w:lang w:val="ru-RU" w:eastAsia="ru-RU" w:bidi="ar-SA"/>
              </w:rPr>
            </w:pPr>
            <w:r>
              <w:rPr>
                <w:rFonts w:eastAsia="Times New Roman" w:cs="" w:ascii="Times New Roman" w:hAnsi="Times New Roman"/>
                <w:b w:val="false"/>
                <w:bCs w:val="false"/>
                <w:kern w:val="0"/>
                <w:sz w:val="22"/>
                <w:szCs w:val="22"/>
                <w:lang w:val="ru-RU" w:eastAsia="ru-RU" w:bidi="ar-SA"/>
              </w:rPr>
            </w:r>
          </w:p>
          <w:p>
            <w:pPr>
              <w:pStyle w:val="Normal"/>
              <w:widowControl w:val="false"/>
              <w:suppressAutoHyphens w:val="true"/>
              <w:spacing w:lineRule="auto" w:line="240" w:before="0" w:after="0"/>
              <w:jc w:val="center"/>
              <w:rPr>
                <w:rFonts w:ascii="Times New Roman" w:hAnsi="Times New Roman"/>
                <w:b w:val="false"/>
                <w:b w:val="false"/>
                <w:bCs w:val="false"/>
                <w:kern w:val="0"/>
                <w:sz w:val="24"/>
                <w:szCs w:val="24"/>
                <w:lang w:val="ru-RU" w:eastAsia="ru-RU" w:bidi="ar-SA"/>
              </w:rPr>
            </w:pPr>
            <w:r>
              <w:rPr>
                <w:rFonts w:eastAsia="Times New Roman" w:ascii="Times New Roman" w:hAnsi="Times New Roman"/>
                <w:b w:val="false"/>
                <w:bCs w:val="false"/>
                <w:kern w:val="0"/>
                <w:sz w:val="24"/>
                <w:szCs w:val="24"/>
                <w:lang w:val="ru-RU" w:eastAsia="ru-RU" w:bidi="ar-SA"/>
              </w:rPr>
              <w:t>100,00</w:t>
            </w:r>
          </w:p>
        </w:tc>
        <w:tc>
          <w:tcPr>
            <w:tcW w:w="1562" w:type="dxa"/>
            <w:tcBorders/>
          </w:tcPr>
          <w:p>
            <w:pPr>
              <w:pStyle w:val="Normal"/>
              <w:widowControl w:val="false"/>
              <w:suppressAutoHyphens w:val="true"/>
              <w:spacing w:lineRule="auto" w:line="240" w:before="0" w:after="0"/>
              <w:jc w:val="center"/>
              <w:rPr>
                <w:rFonts w:ascii="Times New Roman" w:hAnsi="Times New Roman" w:eastAsia="" w:cs="Times New Roman"/>
                <w:b w:val="false"/>
                <w:b w:val="false"/>
                <w:bCs w:val="false"/>
                <w:kern w:val="0"/>
                <w:sz w:val="22"/>
                <w:szCs w:val="22"/>
                <w:lang w:val="ru-RU" w:eastAsia="ru-RU" w:bidi="ar-SA"/>
              </w:rPr>
            </w:pPr>
            <w:r>
              <w:rPr>
                <w:rFonts w:eastAsia="" w:cs="Times New Roman" w:ascii="Times New Roman" w:hAnsi="Times New Roman"/>
                <w:b w:val="false"/>
                <w:bCs w:val="false"/>
                <w:kern w:val="0"/>
                <w:sz w:val="22"/>
                <w:szCs w:val="22"/>
                <w:lang w:val="ru-RU" w:eastAsia="ru-RU" w:bidi="ar-SA"/>
              </w:rPr>
            </w:r>
          </w:p>
          <w:p>
            <w:pPr>
              <w:pStyle w:val="Normal"/>
              <w:widowControl w:val="false"/>
              <w:suppressAutoHyphens w:val="true"/>
              <w:spacing w:lineRule="auto" w:line="240" w:before="0" w:after="0"/>
              <w:jc w:val="center"/>
              <w:rPr>
                <w:rFonts w:ascii="Times New Roman" w:hAnsi="Times New Roman" w:eastAsia="" w:cs="Times New Roman"/>
                <w:b w:val="false"/>
                <w:b w:val="false"/>
                <w:bCs w:val="false"/>
                <w:kern w:val="0"/>
                <w:sz w:val="24"/>
                <w:szCs w:val="24"/>
                <w:lang w:val="ru-RU" w:eastAsia="ru-RU" w:bidi="ar-SA"/>
              </w:rPr>
            </w:pPr>
            <w:r>
              <w:rPr>
                <w:rFonts w:eastAsia="" w:cs="Times New Roman" w:ascii="Times New Roman" w:hAnsi="Times New Roman"/>
                <w:b w:val="false"/>
                <w:bCs w:val="false"/>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b w:val="false"/>
                <w:b w:val="false"/>
                <w:bCs w:val="false"/>
                <w:sz w:val="24"/>
                <w:szCs w:val="24"/>
              </w:rPr>
            </w:pPr>
            <w:r>
              <w:rPr>
                <w:rFonts w:eastAsia="" w:cs="Times New Roman" w:ascii="Times New Roman" w:hAnsi="Times New Roman"/>
                <w:b w:val="false"/>
                <w:bCs w:val="false"/>
                <w:kern w:val="0"/>
                <w:sz w:val="24"/>
                <w:szCs w:val="24"/>
                <w:lang w:val="ru-RU" w:eastAsia="ru-RU" w:bidi="ar-SA"/>
              </w:rPr>
              <w:t>Реализация услуг оказываемых организациями частной формы собственности в сфере выполнения работ по благоустройству городской среды Петровского городского округа Ставропольского края выполнена в полном объеме.</w:t>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оказания услуг по перевозке пассажиров автомобильным транспортом по муниципальным маршрутам регулярных перевозок</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на рынке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1332" w:type="dxa"/>
            <w:tcBorders/>
          </w:tcPr>
          <w:p>
            <w:pPr>
              <w:pStyle w:val="Normal"/>
              <w:widowControl w:val="false"/>
              <w:suppressAutoHyphens w:val="true"/>
              <w:spacing w:lineRule="auto" w:line="240" w:before="0" w:after="0"/>
              <w:jc w:val="center"/>
              <w:rPr>
                <w:rFonts w:ascii="Times New Roman" w:hAnsi="Times New Roman" w:eastAsia="Times New Roman"/>
                <w:sz w:val="24"/>
                <w:szCs w:val="24"/>
              </w:rPr>
            </w:pPr>
            <w:r>
              <w:rPr>
                <w:rFonts w:eastAsia="Times New Roman" w:ascii="Times New Roman" w:hAnsi="Times New Roman"/>
                <w:sz w:val="22"/>
                <w:szCs w:val="24"/>
              </w:rPr>
            </w:r>
          </w:p>
          <w:p>
            <w:pPr>
              <w:pStyle w:val="Normal"/>
              <w:widowControl w:val="false"/>
              <w:suppressAutoHyphens w:val="true"/>
              <w:spacing w:lineRule="auto" w:line="240" w:before="0" w:after="0"/>
              <w:jc w:val="center"/>
              <w:rPr>
                <w:rStyle w:val="1"/>
                <w:rFonts w:eastAsia="" w:eastAsiaTheme="minorEastAsia"/>
                <w:sz w:val="24"/>
                <w:szCs w:val="24"/>
              </w:rPr>
            </w:pPr>
            <w:r>
              <w:rPr>
                <w:rFonts w:eastAsia="Times New Roman" w:cs="" w:ascii="Times New Roman" w:hAnsi="Times New Roman"/>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eastAsia="Times New Roman"/>
                <w:sz w:val="24"/>
                <w:szCs w:val="24"/>
              </w:rPr>
            </w:pPr>
            <w:r>
              <w:rPr>
                <w:rFonts w:eastAsia="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ascii="Times New Roman" w:hAnsi="Times New Roman"/>
                <w:kern w:val="0"/>
                <w:sz w:val="24"/>
                <w:szCs w:val="24"/>
                <w:lang w:val="ru-RU" w:eastAsia="ru-RU" w:bidi="ar-SA"/>
              </w:rPr>
              <w:t>100,00</w:t>
            </w:r>
          </w:p>
        </w:tc>
        <w:tc>
          <w:tcPr>
            <w:tcW w:w="156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tc>
        <w:tc>
          <w:tcPr>
            <w:tcW w:w="594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Услуги (работы)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оказаны (выполнены) в полном объеме.</w:t>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оказания услуг по перевозке пассажиров и багажа легковым такси на территории округа</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в сфере услуг по перевозке пассажиров и багажа легковым такси</w:t>
            </w:r>
          </w:p>
        </w:tc>
        <w:tc>
          <w:tcPr>
            <w:tcW w:w="1332" w:type="dxa"/>
            <w:tcBorders/>
            <w:vAlign w:val="center"/>
          </w:tcPr>
          <w:p>
            <w:pPr>
              <w:pStyle w:val="Normal"/>
              <w:widowControl w:val="false"/>
              <w:suppressAutoHyphens w:val="true"/>
              <w:spacing w:lineRule="auto" w:line="240" w:before="0" w:after="0"/>
              <w:jc w:val="center"/>
              <w:rPr>
                <w:rStyle w:val="1"/>
                <w:rFonts w:eastAsia="" w:eastAsiaTheme="minorEastAsia"/>
                <w:sz w:val="24"/>
                <w:szCs w:val="24"/>
              </w:rPr>
            </w:pPr>
            <w:r>
              <w:rPr>
                <w:rFonts w:cs="" w:ascii="Times New Roman" w:hAnsi="Times New Roman"/>
                <w:kern w:val="0"/>
                <w:sz w:val="24"/>
                <w:szCs w:val="24"/>
                <w:lang w:val="ru-RU" w:eastAsia="ru-RU" w:bidi="ar-SA"/>
              </w:rPr>
              <w:t>процентов</w:t>
            </w:r>
          </w:p>
        </w:tc>
        <w:tc>
          <w:tcPr>
            <w:tcW w:w="130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ascii="Times New Roman" w:hAnsi="Times New Roman"/>
                <w:kern w:val="0"/>
                <w:sz w:val="24"/>
                <w:szCs w:val="24"/>
                <w:lang w:val="ru-RU" w:eastAsia="ru-RU" w:bidi="ar-SA"/>
              </w:rPr>
              <w:t>100,00</w:t>
            </w:r>
          </w:p>
        </w:tc>
        <w:tc>
          <w:tcPr>
            <w:tcW w:w="1562"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Предоставление услуг по перевозке пассажиров и багажа легковым такси на территории Петровского городского округа осуществляется организациями частной формы собственности, оказаны (выполнены) в полном объеме.</w:t>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услуг связи, в том числе услуг по предоставлению широкополосного доступа к информационно-телекоммуникационной сети «Интернет»</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на рынке услуг связи по предоставлению широкополосного доступа к информационно-телекоммуникационной сети «Интернет»</w:t>
            </w:r>
          </w:p>
        </w:tc>
        <w:tc>
          <w:tcPr>
            <w:tcW w:w="1332"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2"/>
                <w:szCs w:val="24"/>
              </w:rPr>
            </w:r>
          </w:p>
          <w:p>
            <w:pPr>
              <w:pStyle w:val="Normal"/>
              <w:widowControl w:val="false"/>
              <w:suppressAutoHyphens w:val="true"/>
              <w:spacing w:lineRule="auto" w:line="240" w:before="0" w:after="0"/>
              <w:jc w:val="center"/>
              <w:rPr>
                <w:rStyle w:val="1"/>
                <w:rFonts w:eastAsia="" w:eastAsiaTheme="minorEastAsia"/>
                <w:sz w:val="24"/>
                <w:szCs w:val="24"/>
              </w:rPr>
            </w:pPr>
            <w:r>
              <w:rPr>
                <w:rFonts w:cs="" w:ascii="Times New Roman" w:hAnsi="Times New Roman"/>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eastAsia="Times New Roman"/>
                <w:sz w:val="24"/>
                <w:szCs w:val="24"/>
              </w:rPr>
            </w:pPr>
            <w:r>
              <w:rPr>
                <w:rFonts w:eastAsia="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ascii="Times New Roman" w:hAnsi="Times New Roman"/>
                <w:kern w:val="0"/>
                <w:sz w:val="24"/>
                <w:szCs w:val="24"/>
                <w:lang w:val="ru-RU" w:eastAsia="ru-RU" w:bidi="ar-SA"/>
              </w:rPr>
              <w:t>100,00</w:t>
            </w:r>
          </w:p>
        </w:tc>
        <w:tc>
          <w:tcPr>
            <w:tcW w:w="156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 территории Петровского городского округа Ставропольского края услуги связи, в том числе услуги по предоставлению широкополосного доступа к информационно-телекоммуникационной сети «Интернет» для населения округа предоставляют 8 коммерческих организаций частной формы собственности.</w:t>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7</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дорожной деятельности (за исключением проектирования)</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на рынке дорожной деятельности (за исключением проектирования)</w:t>
            </w:r>
          </w:p>
        </w:tc>
        <w:tc>
          <w:tcPr>
            <w:tcW w:w="1332"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2"/>
                <w:szCs w:val="24"/>
              </w:rPr>
            </w:r>
          </w:p>
          <w:p>
            <w:pPr>
              <w:pStyle w:val="Normal"/>
              <w:widowControl w:val="false"/>
              <w:suppressAutoHyphens w:val="true"/>
              <w:spacing w:lineRule="auto" w:line="240" w:before="0" w:after="0"/>
              <w:jc w:val="center"/>
              <w:rPr>
                <w:rStyle w:val="1"/>
                <w:rFonts w:eastAsia="" w:eastAsiaTheme="minorEastAsia"/>
                <w:sz w:val="24"/>
                <w:szCs w:val="24"/>
              </w:rPr>
            </w:pPr>
            <w:r>
              <w:rPr>
                <w:rFonts w:cs="" w:ascii="Times New Roman" w:hAnsi="Times New Roman"/>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ascii="Times New Roman" w:hAnsi="Times New Roman"/>
                <w:kern w:val="0"/>
                <w:sz w:val="24"/>
                <w:szCs w:val="24"/>
                <w:lang w:val="ru-RU" w:eastAsia="ru-RU" w:bidi="ar-SA"/>
              </w:rPr>
              <w:t>100,00</w:t>
            </w:r>
          </w:p>
        </w:tc>
        <w:tc>
          <w:tcPr>
            <w:tcW w:w="156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cs="Times New Roman"/>
                <w:sz w:val="24"/>
                <w:szCs w:val="24"/>
                <w:highlight w:val="yellow"/>
              </w:rPr>
            </w:pPr>
            <w:r>
              <w:rPr>
                <w:rFonts w:eastAsia="" w:cs="Times New Roman" w:ascii="Times New Roman" w:hAnsi="Times New Roman"/>
                <w:kern w:val="0"/>
                <w:sz w:val="24"/>
                <w:szCs w:val="24"/>
                <w:lang w:val="ru-RU" w:eastAsia="ru-RU" w:bidi="ar-SA"/>
              </w:rPr>
              <w:t>Рынок дорожной деятельности на территории Петровского городского округа Ставропольского края представляют организации частной формы собственности.</w:t>
            </w:r>
          </w:p>
          <w:p>
            <w:pPr>
              <w:pStyle w:val="Normal"/>
              <w:widowControl w:val="false"/>
              <w:suppressAutoHyphens w:val="true"/>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2"/>
                <w:szCs w:val="24"/>
                <w:highlight w:val="yellow"/>
              </w:rPr>
            </w:r>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8</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Рынок архитектурно-строительного проектирования</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на рынке архитектурно-строительного проектирования</w:t>
            </w:r>
          </w:p>
        </w:tc>
        <w:tc>
          <w:tcPr>
            <w:tcW w:w="1332" w:type="dxa"/>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2"/>
                <w:szCs w:val="24"/>
              </w:rPr>
            </w:r>
          </w:p>
          <w:p>
            <w:pPr>
              <w:pStyle w:val="Normal"/>
              <w:widowControl w:val="false"/>
              <w:suppressAutoHyphens w:val="true"/>
              <w:spacing w:lineRule="auto" w:line="240" w:before="0" w:after="0"/>
              <w:jc w:val="center"/>
              <w:rPr>
                <w:rStyle w:val="1"/>
                <w:rFonts w:eastAsia="" w:eastAsiaTheme="minorEastAsia"/>
                <w:sz w:val="24"/>
                <w:szCs w:val="24"/>
              </w:rPr>
            </w:pPr>
            <w:r>
              <w:rPr>
                <w:rFonts w:cs="" w:ascii="Times New Roman" w:hAnsi="Times New Roman"/>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eastAsia="Times New Roman"/>
                <w:sz w:val="24"/>
                <w:szCs w:val="24"/>
              </w:rPr>
            </w:pPr>
            <w:r>
              <w:rPr>
                <w:rFonts w:eastAsia="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ascii="Times New Roman" w:hAnsi="Times New Roman"/>
                <w:kern w:val="0"/>
                <w:sz w:val="24"/>
                <w:szCs w:val="24"/>
                <w:lang w:val="ru-RU" w:eastAsia="ru-RU" w:bidi="ar-SA"/>
              </w:rPr>
              <w:t>100,00</w:t>
            </w:r>
          </w:p>
        </w:tc>
        <w:tc>
          <w:tcPr>
            <w:tcW w:w="1562"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2"/>
                <w:szCs w:val="24"/>
              </w:rPr>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Развитие конкуренции на рынке архитектурно-строительного проектирования в 2022</w:t>
            </w:r>
            <w:bookmarkStart w:id="0" w:name="_GoBack"/>
            <w:bookmarkEnd w:id="0"/>
            <w:r>
              <w:rPr>
                <w:rFonts w:eastAsia="" w:cs="Times New Roman" w:ascii="Times New Roman" w:hAnsi="Times New Roman"/>
                <w:kern w:val="0"/>
                <w:sz w:val="24"/>
                <w:szCs w:val="24"/>
                <w:lang w:val="ru-RU" w:eastAsia="ru-RU" w:bidi="ar-SA"/>
              </w:rPr>
              <w:t xml:space="preserve"> году составил: </w:t>
            </w:r>
            <w:r>
              <w:rPr>
                <w:rFonts w:eastAsia="" w:cs="Times New Roman" w:ascii="Times New Roman" w:hAnsi="Times New Roman"/>
                <w:kern w:val="0"/>
                <w:sz w:val="24"/>
                <w:szCs w:val="24"/>
                <w:lang w:val="en-US" w:eastAsia="ru-RU" w:bidi="ar-SA"/>
              </w:rPr>
              <w:t>V</w:t>
            </w:r>
            <w:r>
              <w:rPr>
                <w:rFonts w:eastAsia="" w:cs="Times New Roman" w:ascii="Times New Roman" w:hAnsi="Times New Roman"/>
                <w:kern w:val="0"/>
                <w:sz w:val="24"/>
                <w:szCs w:val="24"/>
                <w:vertAlign w:val="subscript"/>
                <w:lang w:val="ru-RU" w:eastAsia="ru-RU" w:bidi="ar-SA"/>
              </w:rPr>
              <w:t>кп</w:t>
            </w:r>
            <w:r>
              <w:rPr>
                <w:rFonts w:eastAsia="" w:cs="Times New Roman" w:ascii="Times New Roman" w:hAnsi="Times New Roman"/>
                <w:kern w:val="0"/>
                <w:sz w:val="24"/>
                <w:szCs w:val="24"/>
                <w:lang w:val="ru-RU" w:eastAsia="ru-RU" w:bidi="ar-SA"/>
              </w:rPr>
              <w:t>=</w:t>
            </w:r>
            <w:r>
              <w:rPr>
                <w:rFonts w:eastAsia="" w:cs="Times New Roman" w:ascii="Times New Roman" w:hAnsi="Times New Roman"/>
                <w:kern w:val="0"/>
                <w:sz w:val="24"/>
                <w:szCs w:val="24"/>
                <w:lang w:val="en-US" w:eastAsia="ru-RU" w:bidi="ar-SA"/>
              </w:rPr>
              <w:t>V</w:t>
            </w:r>
            <w:r>
              <w:rPr>
                <w:rFonts w:eastAsia="" w:cs="Times New Roman" w:ascii="Times New Roman" w:hAnsi="Times New Roman"/>
                <w:kern w:val="0"/>
                <w:sz w:val="24"/>
                <w:szCs w:val="24"/>
                <w:vertAlign w:val="subscript"/>
                <w:lang w:val="en-US" w:eastAsia="ru-RU" w:bidi="ar-SA"/>
              </w:rPr>
              <w:t>n</w:t>
            </w:r>
            <w:r>
              <w:rPr>
                <w:rFonts w:eastAsia="" w:cs="Times New Roman" w:ascii="Times New Roman" w:hAnsi="Times New Roman"/>
                <w:kern w:val="0"/>
                <w:sz w:val="24"/>
                <w:szCs w:val="24"/>
                <w:lang w:val="ru-RU" w:eastAsia="ru-RU" w:bidi="ar-SA"/>
              </w:rPr>
              <w:t>\</w:t>
            </w:r>
            <w:r>
              <w:rPr>
                <w:rFonts w:eastAsia="" w:cs="Times New Roman" w:ascii="Times New Roman" w:hAnsi="Times New Roman"/>
                <w:kern w:val="0"/>
                <w:sz w:val="24"/>
                <w:szCs w:val="24"/>
                <w:lang w:val="en-US" w:eastAsia="ru-RU" w:bidi="ar-SA"/>
              </w:rPr>
              <w:t>V</w:t>
            </w:r>
            <w:r>
              <w:rPr>
                <w:rFonts w:eastAsia="" w:cs="Times New Roman" w:ascii="Times New Roman" w:hAnsi="Times New Roman"/>
                <w:kern w:val="0"/>
                <w:sz w:val="24"/>
                <w:szCs w:val="24"/>
                <w:vertAlign w:val="subscript"/>
                <w:lang w:val="en-US" w:eastAsia="ru-RU" w:bidi="ar-SA"/>
              </w:rPr>
              <w:t>o</w:t>
            </w:r>
            <w:r>
              <w:rPr>
                <w:rFonts w:eastAsia="" w:cs="Times New Roman" w:ascii="Times New Roman" w:hAnsi="Times New Roman"/>
                <w:kern w:val="0"/>
                <w:sz w:val="24"/>
                <w:szCs w:val="24"/>
                <w:lang w:val="en-US" w:eastAsia="ru-RU" w:bidi="ar-SA"/>
              </w:rPr>
              <w:t>x</w:t>
            </w:r>
            <w:r>
              <w:rPr>
                <w:rFonts w:eastAsia="" w:cs="Times New Roman" w:ascii="Times New Roman" w:hAnsi="Times New Roman"/>
                <w:kern w:val="0"/>
                <w:sz w:val="24"/>
                <w:szCs w:val="24"/>
                <w:lang w:val="ru-RU" w:eastAsia="ru-RU" w:bidi="ar-SA"/>
              </w:rPr>
              <w:t>100%=1\1</w:t>
            </w:r>
            <w:r>
              <w:rPr>
                <w:rFonts w:eastAsia="" w:cs="Times New Roman" w:ascii="Times New Roman" w:hAnsi="Times New Roman"/>
                <w:kern w:val="0"/>
                <w:sz w:val="24"/>
                <w:szCs w:val="24"/>
                <w:lang w:val="en-US" w:eastAsia="ru-RU" w:bidi="ar-SA"/>
              </w:rPr>
              <w:t>x</w:t>
            </w:r>
            <w:r>
              <w:rPr>
                <w:rFonts w:eastAsia="" w:cs="Times New Roman" w:ascii="Times New Roman" w:hAnsi="Times New Roman"/>
                <w:kern w:val="0"/>
                <w:sz w:val="24"/>
                <w:szCs w:val="24"/>
                <w:lang w:val="ru-RU" w:eastAsia="ru-RU" w:bidi="ar-SA"/>
              </w:rPr>
              <w:t>100%=100%</w:t>
            </w:r>
          </w:p>
        </w:tc>
      </w:tr>
      <w:tr>
        <w:trPr/>
        <w:tc>
          <w:tcPr>
            <w:tcW w:w="504" w:type="dxa"/>
            <w:tcBorders/>
          </w:tcPr>
          <w:p>
            <w:pPr>
              <w:pStyle w:val="Normal"/>
              <w:widowControl w:val="false"/>
              <w:suppressAutoHyphens w:val="true"/>
              <w:spacing w:lineRule="auto" w:line="240" w:before="0" w:after="0"/>
              <w:jc w:val="center"/>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9</w:t>
            </w:r>
          </w:p>
        </w:tc>
        <w:tc>
          <w:tcPr>
            <w:tcW w:w="2548" w:type="dxa"/>
            <w:tcBorders/>
          </w:tcPr>
          <w:p>
            <w:pPr>
              <w:pStyle w:val="Style16"/>
              <w:widowControl w:val="false"/>
              <w:shd w:val="clear" w:color="auto" w:fill="auto"/>
              <w:suppressAutoHyphens w:val="true"/>
              <w:spacing w:lineRule="exact" w:line="240" w:before="0" w:after="0"/>
              <w:jc w:val="both"/>
              <w:rPr>
                <w:color w:val="000000"/>
              </w:rPr>
            </w:pPr>
            <w:r>
              <w:rPr>
                <w:color w:val="000000"/>
                <w:kern w:val="0"/>
                <w:sz w:val="24"/>
                <w:szCs w:val="24"/>
                <w:lang w:val="ru-RU" w:eastAsia="ru-RU" w:bidi="ar-SA"/>
              </w:rPr>
              <w:t>Рынок реализации сельскохозяйственной продукции</w:t>
            </w:r>
          </w:p>
        </w:tc>
        <w:tc>
          <w:tcPr>
            <w:tcW w:w="2677" w:type="dxa"/>
            <w:tcBorders/>
          </w:tcPr>
          <w:p>
            <w:pPr>
              <w:pStyle w:val="Normal"/>
              <w:widowControl w:val="false"/>
              <w:suppressAutoHyphens w:val="true"/>
              <w:spacing w:lineRule="exact" w:line="240" w:before="0" w:after="0"/>
              <w:jc w:val="both"/>
              <w:rPr>
                <w:color w:val="000000"/>
              </w:rPr>
            </w:pPr>
            <w:r>
              <w:rPr>
                <w:rFonts w:cs="" w:ascii="Times New Roman" w:hAnsi="Times New Roman"/>
                <w:color w:val="000000"/>
                <w:kern w:val="0"/>
                <w:sz w:val="24"/>
                <w:szCs w:val="24"/>
                <w:lang w:val="ru-RU" w:eastAsia="ru-RU" w:bidi="ar-SA"/>
              </w:rPr>
              <w:t>развитие конкуренции на рынке реализации сельскохозяйственной продукции</w:t>
            </w:r>
          </w:p>
        </w:tc>
        <w:tc>
          <w:tcPr>
            <w:tcW w:w="1332" w:type="dxa"/>
            <w:tcBorders/>
          </w:tcPr>
          <w:p>
            <w:pPr>
              <w:pStyle w:val="Normal"/>
              <w:widowControl w:val="false"/>
              <w:suppressAutoHyphens w:val="true"/>
              <w:spacing w:lineRule="auto" w:line="240" w:before="0" w:after="0"/>
              <w:jc w:val="center"/>
              <w:rPr>
                <w:rFonts w:ascii="Times New Roman" w:hAnsi="Times New Roman" w:eastAsia="" w:cs=""/>
                <w:color w:val="000000"/>
                <w:kern w:val="0"/>
                <w:sz w:val="22"/>
                <w:szCs w:val="22"/>
                <w:lang w:val="ru-RU" w:eastAsia="ru-RU" w:bidi="ar-SA"/>
              </w:rPr>
            </w:pPr>
            <w:r>
              <w:rPr>
                <w:rFonts w:eastAsia="" w:cs="" w:ascii="Times New Roman" w:hAnsi="Times New Roman"/>
                <w:color w:val="000000"/>
                <w:kern w:val="0"/>
                <w:sz w:val="22"/>
                <w:szCs w:val="22"/>
                <w:lang w:val="ru-RU" w:eastAsia="ru-RU" w:bidi="ar-SA"/>
              </w:rPr>
            </w:r>
          </w:p>
          <w:p>
            <w:pPr>
              <w:pStyle w:val="Normal"/>
              <w:widowControl w:val="false"/>
              <w:suppressAutoHyphens w:val="true"/>
              <w:spacing w:lineRule="auto" w:line="240" w:before="0" w:after="0"/>
              <w:jc w:val="center"/>
              <w:rPr>
                <w:color w:val="000000"/>
              </w:rPr>
            </w:pPr>
            <w:r>
              <w:rPr>
                <w:rFonts w:cs="" w:ascii="Times New Roman" w:hAnsi="Times New Roman"/>
                <w:color w:val="000000"/>
                <w:kern w:val="0"/>
                <w:sz w:val="24"/>
                <w:szCs w:val="24"/>
                <w:lang w:val="ru-RU" w:eastAsia="ru-RU" w:bidi="ar-SA"/>
              </w:rPr>
              <w:t>процентов</w:t>
            </w:r>
          </w:p>
        </w:tc>
        <w:tc>
          <w:tcPr>
            <w:tcW w:w="1307" w:type="dxa"/>
            <w:tcBorders/>
          </w:tcPr>
          <w:p>
            <w:pPr>
              <w:pStyle w:val="Normal"/>
              <w:widowControl w:val="false"/>
              <w:suppressAutoHyphens w:val="true"/>
              <w:spacing w:lineRule="auto" w:line="240" w:before="0" w:after="0"/>
              <w:jc w:val="center"/>
              <w:rPr>
                <w:rFonts w:ascii="Times New Roman" w:hAnsi="Times New Roman" w:eastAsia="" w:cs=""/>
                <w:color w:val="000000"/>
                <w:kern w:val="0"/>
                <w:sz w:val="22"/>
                <w:szCs w:val="22"/>
                <w:lang w:val="ru-RU" w:eastAsia="ru-RU" w:bidi="ar-SA"/>
              </w:rPr>
            </w:pPr>
            <w:r>
              <w:rPr>
                <w:rFonts w:eastAsia="" w:cs="" w:ascii="Times New Roman" w:hAnsi="Times New Roman"/>
                <w:color w:val="000000"/>
                <w:kern w:val="0"/>
                <w:sz w:val="22"/>
                <w:szCs w:val="22"/>
                <w:lang w:val="ru-RU" w:eastAsia="ru-RU" w:bidi="ar-SA"/>
              </w:rPr>
            </w:r>
          </w:p>
          <w:p>
            <w:pPr>
              <w:pStyle w:val="Normal"/>
              <w:widowControl w:val="false"/>
              <w:suppressAutoHyphens w:val="true"/>
              <w:spacing w:lineRule="auto" w:line="240" w:before="0" w:after="0"/>
              <w:jc w:val="center"/>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100,00</w:t>
            </w:r>
          </w:p>
        </w:tc>
        <w:tc>
          <w:tcPr>
            <w:tcW w:w="1562" w:type="dxa"/>
            <w:tcBorders/>
          </w:tcPr>
          <w:p>
            <w:pPr>
              <w:pStyle w:val="Normal"/>
              <w:widowControl w:val="false"/>
              <w:suppressAutoHyphens w:val="true"/>
              <w:spacing w:lineRule="auto" w:line="240" w:before="0" w:after="0"/>
              <w:jc w:val="center"/>
              <w:rPr>
                <w:rFonts w:ascii="Times New Roman" w:hAnsi="Times New Roman" w:eastAsia="" w:cs="Times New Roman"/>
                <w:color w:val="000000"/>
                <w:kern w:val="0"/>
                <w:sz w:val="22"/>
                <w:szCs w:val="22"/>
                <w:lang w:val="ru-RU" w:eastAsia="ru-RU" w:bidi="ar-SA"/>
              </w:rPr>
            </w:pPr>
            <w:r>
              <w:rPr>
                <w:rFonts w:eastAsia="" w:cs="Times New Roman" w:ascii="Times New Roman" w:hAnsi="Times New Roman"/>
                <w:color w:val="000000"/>
                <w:kern w:val="0"/>
                <w:sz w:val="22"/>
                <w:szCs w:val="22"/>
                <w:lang w:val="ru-RU" w:eastAsia="ru-RU" w:bidi="ar-SA"/>
              </w:rPr>
            </w:r>
          </w:p>
          <w:p>
            <w:pPr>
              <w:pStyle w:val="Normal"/>
              <w:widowControl w:val="false"/>
              <w:suppressAutoHyphens w:val="true"/>
              <w:spacing w:lineRule="auto" w:line="240" w:before="0" w:after="0"/>
              <w:jc w:val="center"/>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Рынок реализации сельскохозяйственной продукции на территории Петровского городского округа Ставропольского края представлен организациями частной формы собственности.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реализующие сельскохозяйственную продукцию на территории Петровского городского округа отсутствуют.</w:t>
            </w:r>
          </w:p>
          <w:p>
            <w:pPr>
              <w:pStyle w:val="Normal"/>
              <w:widowControl w:val="false"/>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В 2022 году на территории округа производством сельскохозяйственной продукции занималось 21 предприятие (включая микропредприятия), 100 крестьянских (фермерских) хозяйств и 12,5 тыс.личных подсобных хозяйств. Крупными и средними сельскохозяйственными предприятиями отгружено товаров собственного производства на сумму 5258,0 млн.рублей.</w:t>
            </w:r>
            <w:bookmarkStart w:id="1" w:name="_GoBack1"/>
            <w:bookmarkEnd w:id="1"/>
          </w:p>
        </w:tc>
      </w:tr>
      <w:tr>
        <w:trPr/>
        <w:tc>
          <w:tcPr>
            <w:tcW w:w="504"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w:t>
            </w:r>
          </w:p>
        </w:tc>
        <w:tc>
          <w:tcPr>
            <w:tcW w:w="2548" w:type="dxa"/>
            <w:tcBorders/>
          </w:tcPr>
          <w:p>
            <w:pPr>
              <w:pStyle w:val="Style16"/>
              <w:widowControl w:val="false"/>
              <w:shd w:val="clear" w:color="auto" w:fill="auto"/>
              <w:suppressAutoHyphens w:val="true"/>
              <w:spacing w:lineRule="exact" w:line="240" w:before="0" w:after="0"/>
              <w:jc w:val="both"/>
              <w:rPr>
                <w:rStyle w:val="1"/>
                <w:sz w:val="24"/>
                <w:szCs w:val="24"/>
              </w:rPr>
            </w:pPr>
            <w:r>
              <w:rPr>
                <w:kern w:val="0"/>
                <w:sz w:val="24"/>
                <w:szCs w:val="24"/>
                <w:lang w:val="ru-RU" w:eastAsia="ru-RU" w:bidi="ar-SA"/>
              </w:rPr>
              <w:t>Сфера наружной рекламы</w:t>
            </w:r>
          </w:p>
        </w:tc>
        <w:tc>
          <w:tcPr>
            <w:tcW w:w="2677" w:type="dxa"/>
            <w:tcBorders/>
          </w:tcPr>
          <w:p>
            <w:pPr>
              <w:pStyle w:val="Normal"/>
              <w:widowControl w:val="false"/>
              <w:suppressAutoHyphens w:val="true"/>
              <w:spacing w:lineRule="exact" w:line="240" w:before="0" w:after="0"/>
              <w:jc w:val="both"/>
              <w:rPr>
                <w:rStyle w:val="1"/>
                <w:rFonts w:eastAsia="" w:eastAsiaTheme="minorEastAsia"/>
                <w:sz w:val="24"/>
                <w:szCs w:val="24"/>
              </w:rPr>
            </w:pPr>
            <w:r>
              <w:rPr>
                <w:rFonts w:cs="" w:ascii="Times New Roman" w:hAnsi="Times New Roman"/>
                <w:kern w:val="0"/>
                <w:sz w:val="24"/>
                <w:szCs w:val="24"/>
                <w:lang w:val="ru-RU" w:eastAsia="ru-RU" w:bidi="ar-SA"/>
              </w:rPr>
              <w:t>развитие конкуренции в сфере наружной рекламы</w:t>
            </w:r>
          </w:p>
        </w:tc>
        <w:tc>
          <w:tcPr>
            <w:tcW w:w="1332" w:type="dxa"/>
            <w:tcBorders/>
            <w:vAlign w:val="center"/>
          </w:tcPr>
          <w:p>
            <w:pPr>
              <w:pStyle w:val="Normal"/>
              <w:widowControl w:val="false"/>
              <w:suppressAutoHyphens w:val="true"/>
              <w:spacing w:lineRule="auto" w:line="240" w:before="0" w:after="0"/>
              <w:jc w:val="center"/>
              <w:rPr>
                <w:rStyle w:val="1"/>
                <w:rFonts w:eastAsia="" w:eastAsiaTheme="minorEastAsia"/>
                <w:sz w:val="24"/>
                <w:szCs w:val="24"/>
              </w:rPr>
            </w:pPr>
            <w:r>
              <w:rPr>
                <w:rFonts w:cs="" w:ascii="Times New Roman" w:hAnsi="Times New Roman"/>
                <w:kern w:val="0"/>
                <w:sz w:val="24"/>
                <w:szCs w:val="24"/>
                <w:lang w:val="ru-RU" w:eastAsia="ru-RU" w:bidi="ar-SA"/>
              </w:rPr>
              <w:t>процентов</w:t>
            </w:r>
          </w:p>
        </w:tc>
        <w:tc>
          <w:tcPr>
            <w:tcW w:w="1307"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Times New Roman" w:ascii="Times New Roman" w:hAnsi="Times New Roman"/>
                <w:kern w:val="0"/>
                <w:sz w:val="24"/>
                <w:szCs w:val="24"/>
                <w:lang w:val="ru-RU" w:eastAsia="ru-RU" w:bidi="ar-SA"/>
              </w:rPr>
              <w:t>100,00</w:t>
            </w:r>
          </w:p>
        </w:tc>
        <w:tc>
          <w:tcPr>
            <w:tcW w:w="1562" w:type="dxa"/>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100,00</w:t>
            </w:r>
          </w:p>
        </w:tc>
        <w:tc>
          <w:tcPr>
            <w:tcW w:w="5945" w:type="dxa"/>
            <w:tcBorders/>
          </w:tcPr>
          <w:p>
            <w:pPr>
              <w:pStyle w:val="Normal"/>
              <w:widowControl w:val="false"/>
              <w:suppressAutoHyphens w:val="true"/>
              <w:spacing w:lineRule="auto" w:line="240" w:before="0" w:after="0"/>
              <w:jc w:val="both"/>
              <w:rPr>
                <w:rFonts w:ascii="Times New Roman" w:hAnsi="Times New Roman" w:cs="Times New Roman"/>
                <w:color w:val="000000" w:themeColor="text1"/>
                <w:sz w:val="24"/>
                <w:szCs w:val="24"/>
              </w:rPr>
            </w:pPr>
            <w:r>
              <w:rPr>
                <w:rFonts w:eastAsia="" w:cs="Times New Roman" w:ascii="Times New Roman" w:hAnsi="Times New Roman"/>
                <w:color w:val="000000" w:themeColor="text1"/>
                <w:kern w:val="0"/>
                <w:sz w:val="24"/>
                <w:szCs w:val="24"/>
                <w:lang w:val="ru-RU" w:eastAsia="ru-RU" w:bidi="ar-SA"/>
              </w:rPr>
              <w:t>На территории Петровского городского округа Ставропольского края установлено 32 рекламных конструкции, в соответствии с разрешениями на выдачу и установку рекламных конструкций. На территории округа отсутствуют предприятия с государственным участием, осуществляющие свою деятельность в сфере наружной рекламы. Таким образом произвести расчеты ключевого показателя развития конкуренции в сфере наружной рекламы не представляется возможным</w:t>
            </w:r>
          </w:p>
        </w:tc>
      </w:tr>
    </w:tbl>
    <w:p>
      <w:pPr>
        <w:pStyle w:val="Normal"/>
        <w:spacing w:before="0" w:after="200"/>
        <w:rPr>
          <w:color w:val="FF0000"/>
        </w:rPr>
      </w:pPr>
      <w:r>
        <w:rPr/>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7bc2"/>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507661"/>
    <w:rPr>
      <w:rFonts w:ascii="Times New Roman" w:hAnsi="Times New Roman" w:cs="Times New Roman"/>
      <w:sz w:val="28"/>
      <w:szCs w:val="28"/>
    </w:rPr>
  </w:style>
  <w:style w:type="character" w:styleId="Style14" w:customStyle="1">
    <w:name w:val="Основной текст Знак"/>
    <w:basedOn w:val="DefaultParagraphFont"/>
    <w:link w:val="a5"/>
    <w:uiPriority w:val="99"/>
    <w:semiHidden/>
    <w:qFormat/>
    <w:rsid w:val="0037766f"/>
    <w:rPr/>
  </w:style>
  <w:style w:type="character" w:styleId="1" w:customStyle="1">
    <w:name w:val="Основной текст Знак1"/>
    <w:basedOn w:val="DefaultParagraphFont"/>
    <w:link w:val="a5"/>
    <w:uiPriority w:val="99"/>
    <w:qFormat/>
    <w:locked/>
    <w:rsid w:val="0037766f"/>
    <w:rPr>
      <w:rFonts w:ascii="Times New Roman" w:hAnsi="Times New Roman" w:eastAsia="Times New Roman" w:cs="Times New Roman"/>
      <w:spacing w:val="-4"/>
      <w:sz w:val="26"/>
      <w:szCs w:val="26"/>
      <w:shd w:fill="FFFFFF" w:val="clear"/>
    </w:rPr>
  </w:style>
  <w:style w:type="character" w:styleId="2" w:customStyle="1">
    <w:name w:val="Подпись к таблице (2)_"/>
    <w:basedOn w:val="DefaultParagraphFont"/>
    <w:link w:val="20"/>
    <w:uiPriority w:val="99"/>
    <w:qFormat/>
    <w:locked/>
    <w:rsid w:val="001565bc"/>
    <w:rPr>
      <w:spacing w:val="-4"/>
      <w:sz w:val="26"/>
      <w:szCs w:val="26"/>
      <w:shd w:fill="FFFFFF" w:val="clear"/>
    </w:rPr>
  </w:style>
  <w:style w:type="character" w:styleId="0pt">
    <w:name w:val="Основной текст + Интервал 0 pt"/>
    <w:basedOn w:val="1"/>
    <w:qFormat/>
    <w:rPr>
      <w:spacing w:val="-5"/>
      <w:u w:val="none"/>
    </w:rPr>
  </w:style>
  <w:style w:type="paragraph" w:styleId="Style15">
    <w:name w:val="Заголовок"/>
    <w:basedOn w:val="Normal"/>
    <w:next w:val="Style16"/>
    <w:qFormat/>
    <w:pPr>
      <w:keepNext w:val="true"/>
      <w:spacing w:before="240" w:after="120"/>
    </w:pPr>
    <w:rPr>
      <w:rFonts w:ascii="Liberation Sans" w:hAnsi="Liberation Sans" w:eastAsia="Tahoma" w:cs="Droid Sans Devanagari"/>
      <w:sz w:val="28"/>
      <w:szCs w:val="28"/>
    </w:rPr>
  </w:style>
  <w:style w:type="paragraph" w:styleId="Style16">
    <w:name w:val="Body Text"/>
    <w:basedOn w:val="Normal"/>
    <w:link w:val="1"/>
    <w:uiPriority w:val="99"/>
    <w:unhideWhenUsed/>
    <w:rsid w:val="0037766f"/>
    <w:pPr>
      <w:widowControl w:val="false"/>
      <w:shd w:val="clear" w:color="auto" w:fill="FFFFFF"/>
      <w:spacing w:lineRule="exact" w:line="638" w:before="240" w:after="240"/>
    </w:pPr>
    <w:rPr>
      <w:rFonts w:ascii="Times New Roman" w:hAnsi="Times New Roman" w:eastAsia="Times New Roman" w:cs="Times New Roman"/>
      <w:spacing w:val="-4"/>
      <w:sz w:val="26"/>
      <w:szCs w:val="26"/>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lang w:val="zxx" w:eastAsia="zxx" w:bidi="zxx"/>
    </w:rPr>
  </w:style>
  <w:style w:type="paragraph" w:styleId="NoSpacing">
    <w:name w:val="No Spacing"/>
    <w:uiPriority w:val="1"/>
    <w:qFormat/>
    <w:rsid w:val="00507661"/>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21" w:customStyle="1">
    <w:name w:val="Подпись к таблице (2)"/>
    <w:basedOn w:val="Normal"/>
    <w:link w:val="2"/>
    <w:uiPriority w:val="99"/>
    <w:qFormat/>
    <w:rsid w:val="001565bc"/>
    <w:pPr>
      <w:widowControl w:val="false"/>
      <w:shd w:val="clear" w:color="auto" w:fill="FFFFFF"/>
      <w:spacing w:lineRule="exact" w:line="322" w:before="0" w:after="0"/>
      <w:jc w:val="both"/>
    </w:pPr>
    <w:rPr>
      <w:spacing w:val="-4"/>
      <w:sz w:val="26"/>
      <w:szCs w:val="2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50766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Application>LibreOffice/7.2.7.2$Linux_X86_64 LibreOffice_project/20$Build-2</Application>
  <AppVersion>15.0000</AppVersion>
  <Pages>4</Pages>
  <Words>685</Words>
  <Characters>5584</Characters>
  <CharactersWithSpaces>6176</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2020-01-10T05:41:00Z</dcterms:created>
  <dc:creator>tarasov</dc:creator>
  <dc:description/>
  <dc:language>ru-RU</dc:language>
  <cp:lastModifiedBy/>
  <cp:lastPrinted>2023-02-10T16:57:13Z</cp:lastPrinted>
  <dcterms:modified xsi:type="dcterms:W3CDTF">2023-02-10T18:04:12Z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