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8D" w:rsidRDefault="00A802E7" w:rsidP="003B5426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Arial" w:hAnsi="Arial" w:cs="Arial"/>
          <w:noProof/>
          <w:lang w:eastAsia="ru-RU" w:bidi="ar-SA"/>
        </w:rPr>
        <w:drawing>
          <wp:inline distT="0" distB="0" distL="0" distR="0" wp14:anchorId="78CED6CE" wp14:editId="32139911">
            <wp:extent cx="2838450" cy="1194064"/>
            <wp:effectExtent l="0" t="0" r="0" b="6350"/>
            <wp:docPr id="4" name="Рисунок 4" descr="наш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 логоти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9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6F1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3B5426">
        <w:rPr>
          <w:rFonts w:ascii="Segoe UI" w:hAnsi="Segoe UI" w:cs="Segoe UI"/>
          <w:b/>
          <w:noProof/>
          <w:sz w:val="36"/>
          <w:szCs w:val="36"/>
          <w:lang w:eastAsia="ru-RU"/>
        </w:rPr>
        <w:t xml:space="preserve">                         </w:t>
      </w:r>
      <w:r w:rsidR="0067778D"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67778D" w:rsidRPr="00E16ED2" w:rsidRDefault="008653D4" w:rsidP="0067778D">
      <w:pPr>
        <w:spacing w:before="240"/>
        <w:jc w:val="center"/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</w:pPr>
      <w:bookmarkStart w:id="0" w:name="_GoBack"/>
      <w:r w:rsidRPr="008653D4"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>О государственной кадастровой оценке на территории Ставропольского края</w:t>
      </w:r>
      <w:bookmarkEnd w:id="0"/>
    </w:p>
    <w:p w:rsidR="00172E4F" w:rsidRDefault="00172E4F" w:rsidP="008653D4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>
        <w:rPr>
          <w:noProof/>
          <w:lang w:eastAsia="ru-RU" w:bidi="ar-SA"/>
        </w:rPr>
        <w:drawing>
          <wp:inline distT="0" distB="0" distL="0" distR="0" wp14:anchorId="5105324B" wp14:editId="759505A8">
            <wp:extent cx="6153150" cy="31337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3097" b="33242"/>
                    <a:stretch/>
                  </pic:blipFill>
                  <pic:spPr bwMode="auto">
                    <a:xfrm>
                      <a:off x="0" y="0"/>
                      <a:ext cx="6153150" cy="313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53D4" w:rsidRPr="008653D4" w:rsidRDefault="008653D4" w:rsidP="008653D4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proofErr w:type="gramStart"/>
      <w:r w:rsidRPr="008653D4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23 августа 2019 года на официальном сайте ГБУ СК «Ставкрайимущество» www.gupski.ru, а также в Фонде данных государственной кадастровой оценки (сайт Росреестра www.rosreestr.ru) размещены промежуточные отчетные материалы по государственной кадастровой оценке (проект отчета № 1-2019 от 14.08.2019), проводимой на территории Ставропольского края по состоянию на 01.01.2019 в отношении следующих видов объектов недвижимости: </w:t>
      </w:r>
      <w:proofErr w:type="gramEnd"/>
    </w:p>
    <w:p w:rsidR="008653D4" w:rsidRPr="008653D4" w:rsidRDefault="008653D4" w:rsidP="008653D4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8653D4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- все виды объектов недвижимости (за исключением земельных участков);</w:t>
      </w:r>
    </w:p>
    <w:p w:rsidR="008653D4" w:rsidRPr="008653D4" w:rsidRDefault="008653D4" w:rsidP="008653D4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8653D4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- земельные участки из состава земель населенных пунктов; </w:t>
      </w:r>
    </w:p>
    <w:p w:rsidR="008653D4" w:rsidRPr="008653D4" w:rsidRDefault="008653D4" w:rsidP="008653D4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8653D4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- земельные участки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назначения.</w:t>
      </w:r>
    </w:p>
    <w:p w:rsidR="008653D4" w:rsidRPr="008653D4" w:rsidRDefault="008653D4" w:rsidP="008653D4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>
        <w:rPr>
          <w:rFonts w:ascii="Segoe UI" w:eastAsia="Times New Roman" w:hAnsi="Segoe UI" w:cs="Segoe UI"/>
          <w:noProof/>
          <w:color w:val="000000"/>
          <w:kern w:val="0"/>
          <w:sz w:val="22"/>
          <w:szCs w:val="22"/>
          <w:lang w:eastAsia="ru-RU" w:bidi="ar-SA"/>
        </w:rPr>
        <w:lastRenderedPageBreak/>
        <w:drawing>
          <wp:inline distT="0" distB="0" distL="0" distR="0">
            <wp:extent cx="6296025" cy="3524250"/>
            <wp:effectExtent l="0" t="0" r="0" b="0"/>
            <wp:docPr id="1" name="Рисунок 1" descr="\\10.26.100.10\Common\Пресс-служба\Громова\Рассылка сентябрь\1 кадастровая оценка\2 кадастровая оце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26.100.10\Common\Пресс-служба\Громова\Рассылка сентябрь\1 кадастровая оценка\2 кадастровая оцен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84" b="14882"/>
                    <a:stretch/>
                  </pic:blipFill>
                  <pic:spPr bwMode="auto">
                    <a:xfrm>
                      <a:off x="0" y="0"/>
                      <a:ext cx="6301105" cy="3527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653D4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Замечания к промежуточным отчетным документам могут быть представлены любыми заинтересованными лицами в течение пятидесяти дней со дня размещения сведений и материалов в фонде данных государственной кадастровой оценки. </w:t>
      </w:r>
    </w:p>
    <w:p w:rsidR="008653D4" w:rsidRPr="008653D4" w:rsidRDefault="008653D4" w:rsidP="008653D4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8653D4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Замечания к промежуточным отчетным документам могут быть представлены в бюджетное учреждение (ГБУ СК «Ставкрайимущество») или многофункциональный центр предоставления государственных и муниципальных услуг лично, почтовым отправлением или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услуг.</w:t>
      </w:r>
    </w:p>
    <w:p w:rsidR="008653D4" w:rsidRPr="008653D4" w:rsidRDefault="008653D4" w:rsidP="008653D4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8653D4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Замечание к промежуточным отчетным документам наряду с изложением его сути должно содержать:</w:t>
      </w:r>
    </w:p>
    <w:p w:rsidR="008653D4" w:rsidRPr="008653D4" w:rsidRDefault="008653D4" w:rsidP="008653D4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8653D4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1.</w:t>
      </w:r>
      <w:r w:rsidRPr="008653D4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ab/>
        <w:t>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промежуточным отчетным документам;</w:t>
      </w:r>
    </w:p>
    <w:p w:rsidR="008653D4" w:rsidRPr="008653D4" w:rsidRDefault="008653D4" w:rsidP="008653D4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8653D4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2.</w:t>
      </w:r>
      <w:r w:rsidRPr="008653D4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ab/>
        <w:t>Кадастровый номер и (или) адрес объекта недвижимости, в отношении определения кадастровой стоимости которого представляется замечание к промежуточным отчетным документам;</w:t>
      </w:r>
    </w:p>
    <w:p w:rsidR="008653D4" w:rsidRPr="008653D4" w:rsidRDefault="008653D4" w:rsidP="008653D4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8653D4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3.</w:t>
      </w:r>
      <w:r w:rsidRPr="008653D4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ab/>
        <w:t>Указание на номера страниц промежуточных отчетных документов, к которым представляется замечание (по желанию).</w:t>
      </w:r>
    </w:p>
    <w:p w:rsidR="008653D4" w:rsidRPr="008653D4" w:rsidRDefault="008653D4" w:rsidP="008653D4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8653D4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К замечанию к промежуточным отчетным документам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 Замечания к промежуточным отчетным документам, не соответствующие указанным требованиям, не подлежат рассмотрению.</w:t>
      </w:r>
    </w:p>
    <w:p w:rsidR="008653D4" w:rsidRPr="008653D4" w:rsidRDefault="008653D4" w:rsidP="008653D4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8653D4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ГБУ СК «Ставкрайимущество» в течение срока размещения промежуточных отчетных документов на своем интернет-сайте обязано осуществлять размещение обновленных </w:t>
      </w:r>
      <w:r w:rsidRPr="008653D4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lastRenderedPageBreak/>
        <w:t>материалов, информации о кадастровых номерах и кадастровой стоимости, в том числе в рамках рассмотрения поданных замечаний, а также информации о замечаниях, которые не были учтены, с соответствующим обоснованием.</w:t>
      </w:r>
    </w:p>
    <w:p w:rsidR="001A629D" w:rsidRPr="001A629D" w:rsidRDefault="00172E4F" w:rsidP="008653D4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>
        <w:rPr>
          <w:rFonts w:ascii="Segoe UI" w:eastAsia="Times New Roman" w:hAnsi="Segoe UI" w:cs="Segoe UI"/>
          <w:noProof/>
          <w:color w:val="000000"/>
          <w:kern w:val="0"/>
          <w:sz w:val="22"/>
          <w:szCs w:val="22"/>
          <w:lang w:eastAsia="ru-RU" w:bidi="ar-SA"/>
        </w:rPr>
        <w:drawing>
          <wp:inline distT="0" distB="0" distL="0" distR="0">
            <wp:extent cx="6296025" cy="2905125"/>
            <wp:effectExtent l="0" t="0" r="9525" b="9525"/>
            <wp:docPr id="3" name="Рисунок 3" descr="\\10.26.100.10\Common\Пресс-служба\Громова\Рассылка сентябрь\1 кадастровая оценка\3 кадастровая оце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26.100.10\Common\Пресс-служба\Громова\Рассылка сентябрь\1 кадастровая оценка\3 кадастровая оцен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76" b="29001"/>
                    <a:stretch/>
                  </pic:blipFill>
                  <pic:spPr bwMode="auto">
                    <a:xfrm>
                      <a:off x="0" y="0"/>
                      <a:ext cx="6301105" cy="290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653D4" w:rsidRPr="008653D4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По итогам рассмотрения замечания к промежуточным отчетным документам ГБУ СК «Ставкрайимущество» осуществляется пересчет кадастровой стоимости объектов недвижимости, в отношении которых не было представлено замечание, если бюджетным учреждением выявлена необходимость такого пересчета</w:t>
      </w:r>
    </w:p>
    <w:p w:rsidR="008E6652" w:rsidRDefault="008E6652" w:rsidP="008E6652">
      <w:pPr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</w:p>
    <w:p w:rsidR="00E17A52" w:rsidRDefault="004A1E24" w:rsidP="00E17A52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7C74B4C" wp14:editId="73A08058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:rsidR="00E17A52" w:rsidRPr="00E4213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</w:t>
      </w:r>
      <w:r w:rsidR="0025545E">
        <w:rPr>
          <w:rFonts w:ascii="Segoe UI" w:hAnsi="Segoe UI" w:cs="Segoe UI"/>
          <w:b/>
          <w:noProof/>
          <w:lang w:eastAsia="sk-SK"/>
        </w:rPr>
        <w:t>б Управлении</w:t>
      </w:r>
      <w:r w:rsidRPr="00E4213D">
        <w:rPr>
          <w:rFonts w:ascii="Segoe UI" w:hAnsi="Segoe UI" w:cs="Segoe UI"/>
          <w:b/>
          <w:noProof/>
          <w:lang w:eastAsia="sk-SK"/>
        </w:rPr>
        <w:t xml:space="preserve"> Росреестр</w:t>
      </w:r>
      <w:r w:rsidR="0025545E">
        <w:rPr>
          <w:rFonts w:ascii="Segoe UI" w:hAnsi="Segoe UI" w:cs="Segoe UI"/>
          <w:b/>
          <w:noProof/>
          <w:lang w:eastAsia="sk-SK"/>
        </w:rPr>
        <w:t>а по Ставропольскому краю</w:t>
      </w:r>
    </w:p>
    <w:p w:rsidR="00E17A52" w:rsidRPr="00E4213D" w:rsidRDefault="00E17A52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25545E" w:rsidRDefault="007B30B6" w:rsidP="00E17A52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7B30B6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Ставропольскому краю является территориальным органом Федеральной службы государственной регистрации, кадастра и картографии, осуществляет функции по государственной регистрации прав на недвижимое имущество и сделок с ним, землеустройства, государственного мониторинга земель, геодезии, картографии, а также функции государственного геодезического надзора, государственного земельного контроля, надзора за деятельностью саморегулируемых организаций оценщиков, контроля (надзора) за деятельностью арбитражных</w:t>
      </w:r>
      <w:proofErr w:type="gramEnd"/>
      <w:r w:rsidRPr="007B30B6">
        <w:rPr>
          <w:rFonts w:ascii="Segoe UI" w:hAnsi="Segoe UI" w:cs="Segoe UI"/>
          <w:sz w:val="18"/>
          <w:szCs w:val="18"/>
        </w:rPr>
        <w:t xml:space="preserve"> управляющих, саморегулируемых организаций арбитражных управляющих на территории Ставропольского края. </w:t>
      </w:r>
      <w:r w:rsidR="00D34F92">
        <w:rPr>
          <w:rFonts w:ascii="Segoe UI" w:hAnsi="Segoe UI" w:cs="Segoe UI"/>
          <w:sz w:val="18"/>
          <w:szCs w:val="18"/>
        </w:rPr>
        <w:t xml:space="preserve">Исполняет обязанности руководителя </w:t>
      </w:r>
      <w:r w:rsidR="00D34F92" w:rsidRPr="00D34F92">
        <w:rPr>
          <w:rFonts w:ascii="Segoe UI" w:hAnsi="Segoe UI" w:cs="Segoe UI"/>
          <w:sz w:val="18"/>
          <w:szCs w:val="18"/>
        </w:rPr>
        <w:t>Управлени</w:t>
      </w:r>
      <w:r w:rsidR="00F00835">
        <w:rPr>
          <w:rFonts w:ascii="Segoe UI" w:hAnsi="Segoe UI" w:cs="Segoe UI"/>
          <w:sz w:val="18"/>
          <w:szCs w:val="18"/>
        </w:rPr>
        <w:t>я</w:t>
      </w:r>
      <w:r w:rsidR="00D34F92" w:rsidRPr="00D34F92">
        <w:rPr>
          <w:rFonts w:ascii="Segoe UI" w:hAnsi="Segoe UI" w:cs="Segoe UI"/>
          <w:sz w:val="18"/>
          <w:szCs w:val="18"/>
        </w:rPr>
        <w:t xml:space="preserve"> Росреестра по Ставропольскому краю</w:t>
      </w:r>
      <w:r w:rsidR="00F00835">
        <w:rPr>
          <w:rFonts w:ascii="Segoe UI" w:hAnsi="Segoe UI" w:cs="Segoe UI"/>
          <w:sz w:val="18"/>
          <w:szCs w:val="18"/>
        </w:rPr>
        <w:t xml:space="preserve"> Колесников Михаил Дмитриевич.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Пресс-служба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Управления Федеральной службы </w:t>
      </w:r>
      <w:r w:rsidRPr="004B4A29">
        <w:rPr>
          <w:rFonts w:ascii="Segoe UI" w:eastAsia="Calibri" w:hAnsi="Segoe UI" w:cs="Segoe UI"/>
          <w:sz w:val="20"/>
          <w:szCs w:val="20"/>
          <w:lang w:eastAsia="en-US"/>
        </w:rPr>
        <w:br/>
        <w:t xml:space="preserve">государственной регистрации, кадастра и картографии 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 xml:space="preserve">по Ставропольскому краю (Управление Росреестра по СК) </w:t>
      </w:r>
    </w:p>
    <w:p w:rsidR="007B30B6" w:rsidRDefault="007B30B6" w:rsidP="007B30B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</w:p>
    <w:p w:rsidR="00004840" w:rsidRDefault="00865A1B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</w:t>
      </w:r>
      <w:r w:rsidR="00863AB9">
        <w:rPr>
          <w:rFonts w:ascii="Segoe UI" w:eastAsia="Calibri" w:hAnsi="Segoe UI" w:cs="Segoe UI"/>
          <w:sz w:val="20"/>
          <w:szCs w:val="20"/>
          <w:lang w:eastAsia="en-US"/>
        </w:rPr>
        <w:t> 500 (доб. 1309</w:t>
      </w:r>
      <w:r w:rsidR="00004840">
        <w:rPr>
          <w:rFonts w:ascii="Segoe UI" w:eastAsia="Calibri" w:hAnsi="Segoe UI" w:cs="Segoe UI"/>
          <w:sz w:val="20"/>
          <w:szCs w:val="20"/>
          <w:lang w:eastAsia="en-US"/>
        </w:rPr>
        <w:t>)</w:t>
      </w:r>
    </w:p>
    <w:p w:rsidR="00863AB9" w:rsidRDefault="00863AB9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556 491</w:t>
      </w:r>
    </w:p>
    <w:p w:rsidR="00004840" w:rsidRPr="007779A5" w:rsidRDefault="00004840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</w:p>
    <w:p w:rsidR="007B30B6" w:rsidRDefault="00337663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3" w:history="1"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smi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@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004840" w:rsidRPr="00004840" w:rsidRDefault="00004840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865A1B" w:rsidRPr="00715BF7" w:rsidRDefault="00337663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4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7B30B6" w:rsidRPr="00715BF7" w:rsidRDefault="00337663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5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865A1B" w:rsidRPr="00715BF7" w:rsidRDefault="00865A1B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582730" w:rsidRPr="00EC4E8A" w:rsidRDefault="007B30B6" w:rsidP="007B30B6">
      <w:pPr>
        <w:pStyle w:val="a6"/>
        <w:spacing w:after="0"/>
        <w:rPr>
          <w:rFonts w:eastAsia="Calibri"/>
          <w:lang w:eastAsia="en-US"/>
        </w:rPr>
      </w:pPr>
      <w:r w:rsidRPr="00EF51E7">
        <w:rPr>
          <w:rFonts w:ascii="Segoe UI" w:eastAsia="Calibri" w:hAnsi="Segoe UI" w:cs="Segoe UI"/>
          <w:sz w:val="20"/>
          <w:szCs w:val="20"/>
          <w:lang w:eastAsia="en-US"/>
        </w:rPr>
        <w:t>355012</w:t>
      </w:r>
      <w:r w:rsidRPr="006C49C5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>Ставропольский край</w:t>
      </w:r>
      <w:r>
        <w:rPr>
          <w:rFonts w:ascii="Segoe UI" w:eastAsia="Calibri" w:hAnsi="Segoe UI" w:cs="Segoe UI"/>
          <w:sz w:val="20"/>
          <w:szCs w:val="20"/>
          <w:lang w:eastAsia="en-US"/>
        </w:rPr>
        <w:t>,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 Ставрополь, ул.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proofErr w:type="gramStart"/>
      <w:r w:rsidRPr="00EF51E7">
        <w:rPr>
          <w:rFonts w:ascii="Segoe UI" w:eastAsia="Calibri" w:hAnsi="Segoe UI" w:cs="Segoe UI"/>
          <w:sz w:val="20"/>
          <w:szCs w:val="20"/>
          <w:lang w:eastAsia="en-US"/>
        </w:rPr>
        <w:t>Комсомольская</w:t>
      </w:r>
      <w:proofErr w:type="gramEnd"/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>
        <w:rPr>
          <w:rFonts w:ascii="Segoe UI" w:eastAsia="Calibri" w:hAnsi="Segoe UI" w:cs="Segoe UI"/>
          <w:sz w:val="20"/>
          <w:szCs w:val="20"/>
          <w:lang w:eastAsia="en-US"/>
        </w:rPr>
        <w:t>д. 58</w:t>
      </w:r>
    </w:p>
    <w:sectPr w:rsidR="00582730" w:rsidRPr="00EC4E8A" w:rsidSect="00715BF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851" w:right="707" w:bottom="28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663" w:rsidRDefault="00337663">
      <w:r>
        <w:separator/>
      </w:r>
    </w:p>
  </w:endnote>
  <w:endnote w:type="continuationSeparator" w:id="0">
    <w:p w:rsidR="00337663" w:rsidRDefault="0033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663" w:rsidRDefault="00337663">
      <w:r>
        <w:separator/>
      </w:r>
    </w:p>
  </w:footnote>
  <w:footnote w:type="continuationSeparator" w:id="0">
    <w:p w:rsidR="00337663" w:rsidRDefault="00337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59104"/>
      <w:docPartObj>
        <w:docPartGallery w:val="Page Numbers (Top of Page)"/>
        <w:docPartUnique/>
      </w:docPartObj>
    </w:sdtPr>
    <w:sdtEndPr/>
    <w:sdtContent>
      <w:p w:rsidR="00715BF7" w:rsidRDefault="00715BF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1FE">
          <w:rPr>
            <w:noProof/>
          </w:rPr>
          <w:t>2</w:t>
        </w:r>
        <w:r>
          <w:fldChar w:fldCharType="end"/>
        </w:r>
      </w:p>
    </w:sdtContent>
  </w:sdt>
  <w:p w:rsidR="00715BF7" w:rsidRDefault="00715BF7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D5"/>
    <w:rsid w:val="00004840"/>
    <w:rsid w:val="000140C0"/>
    <w:rsid w:val="000274BB"/>
    <w:rsid w:val="000339F7"/>
    <w:rsid w:val="0003642B"/>
    <w:rsid w:val="00065FE6"/>
    <w:rsid w:val="000673FC"/>
    <w:rsid w:val="000777EA"/>
    <w:rsid w:val="000817F8"/>
    <w:rsid w:val="00081D6D"/>
    <w:rsid w:val="00083261"/>
    <w:rsid w:val="0008597C"/>
    <w:rsid w:val="00090053"/>
    <w:rsid w:val="000923C9"/>
    <w:rsid w:val="000972A0"/>
    <w:rsid w:val="000B0B54"/>
    <w:rsid w:val="000D710D"/>
    <w:rsid w:val="000E345B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4E82"/>
    <w:rsid w:val="00132C1C"/>
    <w:rsid w:val="00145B33"/>
    <w:rsid w:val="00154C8E"/>
    <w:rsid w:val="00171CA6"/>
    <w:rsid w:val="00172E4F"/>
    <w:rsid w:val="00174A52"/>
    <w:rsid w:val="00182123"/>
    <w:rsid w:val="00186E10"/>
    <w:rsid w:val="001874B9"/>
    <w:rsid w:val="00190969"/>
    <w:rsid w:val="0019721C"/>
    <w:rsid w:val="001A629D"/>
    <w:rsid w:val="001B0762"/>
    <w:rsid w:val="001C10AF"/>
    <w:rsid w:val="001E5F75"/>
    <w:rsid w:val="001E757E"/>
    <w:rsid w:val="00200210"/>
    <w:rsid w:val="00204F71"/>
    <w:rsid w:val="00207C9A"/>
    <w:rsid w:val="002177A9"/>
    <w:rsid w:val="00224AF8"/>
    <w:rsid w:val="0023157C"/>
    <w:rsid w:val="00236744"/>
    <w:rsid w:val="0024682B"/>
    <w:rsid w:val="002518A3"/>
    <w:rsid w:val="0025344B"/>
    <w:rsid w:val="0025545E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6E29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30C9"/>
    <w:rsid w:val="00306F15"/>
    <w:rsid w:val="00311A90"/>
    <w:rsid w:val="0031628A"/>
    <w:rsid w:val="00317C56"/>
    <w:rsid w:val="00323CB8"/>
    <w:rsid w:val="003271E7"/>
    <w:rsid w:val="00331801"/>
    <w:rsid w:val="00337663"/>
    <w:rsid w:val="00357644"/>
    <w:rsid w:val="003611C2"/>
    <w:rsid w:val="003675CE"/>
    <w:rsid w:val="003706A8"/>
    <w:rsid w:val="00370875"/>
    <w:rsid w:val="003716A3"/>
    <w:rsid w:val="003807C0"/>
    <w:rsid w:val="003938E2"/>
    <w:rsid w:val="00397E21"/>
    <w:rsid w:val="003A0F6B"/>
    <w:rsid w:val="003B0301"/>
    <w:rsid w:val="003B5426"/>
    <w:rsid w:val="003B6634"/>
    <w:rsid w:val="003C2F61"/>
    <w:rsid w:val="003C3630"/>
    <w:rsid w:val="003E127A"/>
    <w:rsid w:val="003E5A48"/>
    <w:rsid w:val="003E7DE3"/>
    <w:rsid w:val="003F358F"/>
    <w:rsid w:val="003F5A31"/>
    <w:rsid w:val="003F60DD"/>
    <w:rsid w:val="003F7A31"/>
    <w:rsid w:val="00400403"/>
    <w:rsid w:val="004032F1"/>
    <w:rsid w:val="00406B55"/>
    <w:rsid w:val="00411504"/>
    <w:rsid w:val="00411C41"/>
    <w:rsid w:val="0041630D"/>
    <w:rsid w:val="0043154D"/>
    <w:rsid w:val="00441B3F"/>
    <w:rsid w:val="00442669"/>
    <w:rsid w:val="004447DC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90C51"/>
    <w:rsid w:val="004A036E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D0B4D"/>
    <w:rsid w:val="004D7BFA"/>
    <w:rsid w:val="004E579C"/>
    <w:rsid w:val="00505BE1"/>
    <w:rsid w:val="00515E34"/>
    <w:rsid w:val="0051646A"/>
    <w:rsid w:val="00516989"/>
    <w:rsid w:val="00536EAA"/>
    <w:rsid w:val="00541124"/>
    <w:rsid w:val="00547D30"/>
    <w:rsid w:val="005618AD"/>
    <w:rsid w:val="00564EA5"/>
    <w:rsid w:val="005664D6"/>
    <w:rsid w:val="00582730"/>
    <w:rsid w:val="005853C8"/>
    <w:rsid w:val="00592DFD"/>
    <w:rsid w:val="005A06F3"/>
    <w:rsid w:val="005A3345"/>
    <w:rsid w:val="005A392B"/>
    <w:rsid w:val="005A4BB1"/>
    <w:rsid w:val="005B3F70"/>
    <w:rsid w:val="005B48EC"/>
    <w:rsid w:val="005B5716"/>
    <w:rsid w:val="005C02ED"/>
    <w:rsid w:val="005E4BFA"/>
    <w:rsid w:val="005F026D"/>
    <w:rsid w:val="005F61FC"/>
    <w:rsid w:val="00602C9A"/>
    <w:rsid w:val="00607B24"/>
    <w:rsid w:val="006130E1"/>
    <w:rsid w:val="006148A3"/>
    <w:rsid w:val="00620790"/>
    <w:rsid w:val="0062172C"/>
    <w:rsid w:val="006243F5"/>
    <w:rsid w:val="006257AB"/>
    <w:rsid w:val="006370B3"/>
    <w:rsid w:val="00637932"/>
    <w:rsid w:val="00642C63"/>
    <w:rsid w:val="006528FC"/>
    <w:rsid w:val="00654D1E"/>
    <w:rsid w:val="00664741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7368"/>
    <w:rsid w:val="0070210C"/>
    <w:rsid w:val="0071422B"/>
    <w:rsid w:val="0071598A"/>
    <w:rsid w:val="00715BF7"/>
    <w:rsid w:val="00723E0F"/>
    <w:rsid w:val="007246F1"/>
    <w:rsid w:val="007260F8"/>
    <w:rsid w:val="00731E62"/>
    <w:rsid w:val="00747903"/>
    <w:rsid w:val="00781E91"/>
    <w:rsid w:val="00782A90"/>
    <w:rsid w:val="007837AF"/>
    <w:rsid w:val="007926D7"/>
    <w:rsid w:val="007A1E51"/>
    <w:rsid w:val="007A49F1"/>
    <w:rsid w:val="007A5225"/>
    <w:rsid w:val="007B1335"/>
    <w:rsid w:val="007B30B6"/>
    <w:rsid w:val="007B7EDE"/>
    <w:rsid w:val="007C54C4"/>
    <w:rsid w:val="007C5DC0"/>
    <w:rsid w:val="007C6CCA"/>
    <w:rsid w:val="007D75E6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61EB4"/>
    <w:rsid w:val="00862ADF"/>
    <w:rsid w:val="008631E9"/>
    <w:rsid w:val="008631FE"/>
    <w:rsid w:val="00863AB9"/>
    <w:rsid w:val="00863EA9"/>
    <w:rsid w:val="008653D4"/>
    <w:rsid w:val="00865A1B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6FB0"/>
    <w:rsid w:val="008D0634"/>
    <w:rsid w:val="008E16A1"/>
    <w:rsid w:val="008E36E9"/>
    <w:rsid w:val="008E4B4A"/>
    <w:rsid w:val="008E6652"/>
    <w:rsid w:val="008E7EFA"/>
    <w:rsid w:val="0090164C"/>
    <w:rsid w:val="009063D5"/>
    <w:rsid w:val="00915632"/>
    <w:rsid w:val="0091695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42A82"/>
    <w:rsid w:val="00945AC0"/>
    <w:rsid w:val="00950582"/>
    <w:rsid w:val="00957A03"/>
    <w:rsid w:val="00961833"/>
    <w:rsid w:val="00962778"/>
    <w:rsid w:val="00966EE6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E1F59"/>
    <w:rsid w:val="009E4013"/>
    <w:rsid w:val="009E7840"/>
    <w:rsid w:val="009F3506"/>
    <w:rsid w:val="009F6293"/>
    <w:rsid w:val="009F7CD0"/>
    <w:rsid w:val="00A02B97"/>
    <w:rsid w:val="00A179D4"/>
    <w:rsid w:val="00A25EF1"/>
    <w:rsid w:val="00A30B02"/>
    <w:rsid w:val="00A31E23"/>
    <w:rsid w:val="00A35DCC"/>
    <w:rsid w:val="00A40F22"/>
    <w:rsid w:val="00A419FB"/>
    <w:rsid w:val="00A526C5"/>
    <w:rsid w:val="00A53C52"/>
    <w:rsid w:val="00A54DEC"/>
    <w:rsid w:val="00A550FE"/>
    <w:rsid w:val="00A73E74"/>
    <w:rsid w:val="00A75297"/>
    <w:rsid w:val="00A75D32"/>
    <w:rsid w:val="00A802E7"/>
    <w:rsid w:val="00A80937"/>
    <w:rsid w:val="00A85BD7"/>
    <w:rsid w:val="00A87657"/>
    <w:rsid w:val="00A93B34"/>
    <w:rsid w:val="00AC17CA"/>
    <w:rsid w:val="00AC2117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76BA"/>
    <w:rsid w:val="00B3093A"/>
    <w:rsid w:val="00B316E9"/>
    <w:rsid w:val="00B3273F"/>
    <w:rsid w:val="00B410BF"/>
    <w:rsid w:val="00B51E7F"/>
    <w:rsid w:val="00B531CD"/>
    <w:rsid w:val="00B56D31"/>
    <w:rsid w:val="00B62FD8"/>
    <w:rsid w:val="00B67940"/>
    <w:rsid w:val="00B71DB4"/>
    <w:rsid w:val="00B900FB"/>
    <w:rsid w:val="00B93305"/>
    <w:rsid w:val="00B93CEB"/>
    <w:rsid w:val="00B94391"/>
    <w:rsid w:val="00BB5741"/>
    <w:rsid w:val="00BC309A"/>
    <w:rsid w:val="00BC4833"/>
    <w:rsid w:val="00BD2193"/>
    <w:rsid w:val="00BD483A"/>
    <w:rsid w:val="00BD5312"/>
    <w:rsid w:val="00BD728B"/>
    <w:rsid w:val="00BE4BFF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40310"/>
    <w:rsid w:val="00C407D7"/>
    <w:rsid w:val="00C412A4"/>
    <w:rsid w:val="00C45896"/>
    <w:rsid w:val="00C46E86"/>
    <w:rsid w:val="00C57BE0"/>
    <w:rsid w:val="00C642A1"/>
    <w:rsid w:val="00C75216"/>
    <w:rsid w:val="00C91719"/>
    <w:rsid w:val="00CA5B20"/>
    <w:rsid w:val="00CB059D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68B"/>
    <w:rsid w:val="00D04EF6"/>
    <w:rsid w:val="00D05B5E"/>
    <w:rsid w:val="00D163B8"/>
    <w:rsid w:val="00D16DB9"/>
    <w:rsid w:val="00D32543"/>
    <w:rsid w:val="00D34F92"/>
    <w:rsid w:val="00D37D78"/>
    <w:rsid w:val="00D4167F"/>
    <w:rsid w:val="00D47707"/>
    <w:rsid w:val="00D54C33"/>
    <w:rsid w:val="00D6279A"/>
    <w:rsid w:val="00D82F22"/>
    <w:rsid w:val="00D8573F"/>
    <w:rsid w:val="00D94786"/>
    <w:rsid w:val="00D95FBE"/>
    <w:rsid w:val="00DB5B8B"/>
    <w:rsid w:val="00DB6445"/>
    <w:rsid w:val="00DC39AF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3283A"/>
    <w:rsid w:val="00E426DA"/>
    <w:rsid w:val="00E65126"/>
    <w:rsid w:val="00E73874"/>
    <w:rsid w:val="00E84CC2"/>
    <w:rsid w:val="00E85462"/>
    <w:rsid w:val="00E85548"/>
    <w:rsid w:val="00E8742D"/>
    <w:rsid w:val="00E93DF6"/>
    <w:rsid w:val="00E95315"/>
    <w:rsid w:val="00E978C3"/>
    <w:rsid w:val="00EA21B2"/>
    <w:rsid w:val="00EA3E70"/>
    <w:rsid w:val="00EA4A6C"/>
    <w:rsid w:val="00EB0995"/>
    <w:rsid w:val="00EB2484"/>
    <w:rsid w:val="00EB5607"/>
    <w:rsid w:val="00EB7180"/>
    <w:rsid w:val="00EC4847"/>
    <w:rsid w:val="00EC4E8A"/>
    <w:rsid w:val="00ED3639"/>
    <w:rsid w:val="00EF3B27"/>
    <w:rsid w:val="00EF51E7"/>
    <w:rsid w:val="00EF5CD8"/>
    <w:rsid w:val="00EF60BA"/>
    <w:rsid w:val="00F00835"/>
    <w:rsid w:val="00F00971"/>
    <w:rsid w:val="00F03AFD"/>
    <w:rsid w:val="00F05946"/>
    <w:rsid w:val="00F13FC1"/>
    <w:rsid w:val="00F15056"/>
    <w:rsid w:val="00F221F8"/>
    <w:rsid w:val="00F33805"/>
    <w:rsid w:val="00F3659C"/>
    <w:rsid w:val="00F42DF0"/>
    <w:rsid w:val="00F500EE"/>
    <w:rsid w:val="00F51433"/>
    <w:rsid w:val="00F57CCF"/>
    <w:rsid w:val="00F61E82"/>
    <w:rsid w:val="00F64544"/>
    <w:rsid w:val="00F65045"/>
    <w:rsid w:val="00F9743A"/>
    <w:rsid w:val="00FA5BD4"/>
    <w:rsid w:val="00FA6768"/>
    <w:rsid w:val="00FC4F3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mi@stavreg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.rosreestr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stavreg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51EEB-E789-4A4B-BE62-386B8777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Надежда Васильевна</dc:creator>
  <cp:lastModifiedBy>Громова Надежда Васильевна</cp:lastModifiedBy>
  <cp:revision>35</cp:revision>
  <cp:lastPrinted>2019-09-17T11:44:00Z</cp:lastPrinted>
  <dcterms:created xsi:type="dcterms:W3CDTF">2015-06-01T08:41:00Z</dcterms:created>
  <dcterms:modified xsi:type="dcterms:W3CDTF">2019-09-17T11:45:00Z</dcterms:modified>
</cp:coreProperties>
</file>