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C213EC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C213EC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Текущие результаты в части показателей внесения в ЕГРН сведений о границах согласно Целевой модели по кадастровому учету</w:t>
      </w:r>
      <w:bookmarkEnd w:id="0"/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Целевые модели упрощения процедур ведения бизнеса и повышения инвестиционной привлекательности субъектов Российской Федерации разработаны по поручению Президента России и утверждены распоряжением Правительства Российской Федерации. В соответствии с распоряжением внедряются двенадцать моделей, определяющих действия и показатели по основным направлениям, наиболее сильно влияющим на улучшение инвестиционного климата в регионах России. К таким направлениям, в том числе относятся кадастровый учет и регистрации прав на недвижимое имущество, поэтому по ним также созданы соответствующие модели. Одной из таких моделей является целевая модель «Постановка на кадастровый учет земельных участков и объектов недвижимого имущества» (далее – Целевая модель по учету).</w:t>
      </w:r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Так, указанной Целевой моделью предусмотрены показатели:</w:t>
      </w:r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«доля муниципальных образований, </w:t>
      </w:r>
      <w:proofErr w:type="gramStart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сведения</w:t>
      </w:r>
      <w:proofErr w:type="gramEnd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о границах которых внесены в ЕГРН, процентов», с целевым значением на 31.12.2019 – 85% и на 01.01.2021 – 100%.</w:t>
      </w:r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«доля населенных пунктов, </w:t>
      </w:r>
      <w:proofErr w:type="gramStart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сведения</w:t>
      </w:r>
      <w:proofErr w:type="gramEnd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о границах которых внесены в ЕГРН, процентов», с целевым значением на 31.12.2019 – 65% и на 01.01.2021 – 80%.</w:t>
      </w:r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«доля территориальных зон, сведения о которых внесены в ЕГРН, в общем количестве территориальных зон, установленных правилами землепользования и застройки, на территории субъекта РФ, процентов», с целевым значением на 31.12.2019 – 60% и на 01.01.2021 – 100%.</w:t>
      </w:r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Законодательство также направлено на снижение барьеров для достижения необходимых показателей, так можно отметить, что в соответствии с Федеральным законом от 31.12.2017 № 507-ФЗ «О внесении изменений в Градостроительный кодекс Российской Федерации и отдельные законодательные акты Российской Федерации», упрощен порядок подготовки сведений о границах населенных пунктов и территориальных зон в целях внесения их в ЕГРН, не требуется подготовка землеустроительной документации, проведение ее</w:t>
      </w:r>
      <w:proofErr w:type="gramEnd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экспертизы и передача в государственный фонд данных, полученных в результате проведения землеустройства.</w:t>
      </w:r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Имеющаяся на данный момент практика показывает, что процесс внесения в ЕГРН сведений о границах территориальных зон в большинстве случаев носит длительный характер из-за необходимости осуществления органами местного самоуправления доработки подготовленных для внесения материалов, ввиду наличия ошибок, не позволяющих внести данные сведения в ЕГРН (нарушение положений нормативно правовых документов в части формирования </w:t>
      </w:r>
      <w:proofErr w:type="spellStart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xml</w:t>
      </w:r>
      <w:proofErr w:type="spellEnd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-документа, выявление пересечений вносимых границ с границами объектов недвижимости</w:t>
      </w:r>
      <w:proofErr w:type="gramEnd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, имеющихся в ЕГРН и т.п.). </w:t>
      </w:r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Для достижения поставленных Правительством Российской Федерации целей перед </w:t>
      </w:r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lastRenderedPageBreak/>
        <w:t xml:space="preserve">региональными и местными властями, необходима активная работа органов местного самоуправления, направленная на внесение в ЕГРН сведений о границах. </w:t>
      </w:r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Однако при наличии в муниципальных образованиях края утвержденных генеральных планов и Правил землепользования и застройки (ПЗЗ), до настоящего времени, органами местного самоуправления не внесены сведения о границах муниципальных образований, населенных пунктов и границах территориальных зон, предусмотренных указанными ПЗЗ, в Единый государственный реестр недвижимости. </w:t>
      </w:r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 состоянию на 25.10.2019 фактические показатели в Ставропольском крае составляют соответственно 1,99%, 12,20% и 14,8%. Управлением Росреестра по Ставропольскому краю активно ведется разъяснительная работа с органами местного самоуправления, направленная на внесение в Единый государственный реестр недвижимости сведений о границах, так за 2019 год, по сравнению с показателями на 01.10.2018 года, увеличение показателей по границам, внесенным в ЕГРН составило: 0,5%, 4,59</w:t>
      </w:r>
      <w:proofErr w:type="gramEnd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% и 13,6%.</w:t>
      </w:r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При этом можно отметить следующие муниципальные образования, которые по состоянию на 25.10.2019 года достигли установленного Целевой моделью показателя в части внесения в ЕГРН сведений о территориальных зонах: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г. Ставрополь – 92%, Новоселицкий район – 74%, Туркменский муниципальный район – 71%, Левокумский район – 65%, близок к достижению установленных показателей Курский район, который имеет показатель 57,8%. Одиннадцать муниципальных районов (городских округов) имеют нулевые показатели.</w:t>
      </w:r>
      <w:proofErr w:type="gramEnd"/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части показателя внесения в ЕГРН сведений о границах населенных пунктов отметим г. Ессентуки (100%), Красногвардейский район (79%) и Кировский городской округ (78%). Четырнадцать муниципальных районов (городских округов) имеют нулевые показатели.</w:t>
      </w:r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И всего 4 муниципальных образований имеют сведения о своих границах в ЕГРН.</w:t>
      </w:r>
    </w:p>
    <w:p w:rsidR="00C213EC" w:rsidRPr="00C213EC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Органами государственной власти и органами местного самоуправления, осуществившими подготовку и утверждение документов территориального планирования и правил землепользования и застройки до дня вступления в силу Закона 507-ФЗ (11.01.2018), должны быть подготовлены сведения о границах населенных пунктов, о границах территориальных зон в соответствии со статьями 19, 23 и 30 Градостроительного кодекса Российской Федерации до 1 июня 2020 года.</w:t>
      </w:r>
      <w:proofErr w:type="gramEnd"/>
    </w:p>
    <w:p w:rsidR="001A629D" w:rsidRPr="001A629D" w:rsidRDefault="00C213EC" w:rsidP="00C213E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Управление напоминает, что с 01.01.2021 не допускается выдача разрешений на строительство при отсутствии в ЕГРН сведений о границах территориальных зон, в которых расположены земельные участки, на которых планируются строительство, реконструкция объектов капитального строительства (за исключением строительства, реконструкции объектов федерального значения, объектов регионального значения, объектов местного значения муниципального района и объектов капитального строительства на земельных участках, на которые действие градостроительных регламентов</w:t>
      </w:r>
      <w:proofErr w:type="gramEnd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не распространяется или для </w:t>
      </w:r>
      <w:proofErr w:type="gramStart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которых</w:t>
      </w:r>
      <w:proofErr w:type="gramEnd"/>
      <w:r w:rsidRPr="00C213E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градостроительные регламенты не устанавливаются). Так, с целью исключения нарушения прав заинтересованных лиц на получение в дальнейшем разрешений на строительство, органам местного самоуправления целесообразно активизировать работу, направленную на внесение соответствующих сведений о границах в ЕГРН.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lastRenderedPageBreak/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D1790C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D1790C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D1790C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0C" w:rsidRDefault="00D1790C">
      <w:r>
        <w:separator/>
      </w:r>
    </w:p>
  </w:endnote>
  <w:endnote w:type="continuationSeparator" w:id="0">
    <w:p w:rsidR="00D1790C" w:rsidRDefault="00D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0C" w:rsidRDefault="00D1790C">
      <w:r>
        <w:separator/>
      </w:r>
    </w:p>
  </w:footnote>
  <w:footnote w:type="continuationSeparator" w:id="0">
    <w:p w:rsidR="00D1790C" w:rsidRDefault="00D1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3EC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3EC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1790C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63D07-CE70-424B-A43D-EE048CB4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2019-11-12T12:07:00Z</cp:lastPrinted>
  <dcterms:created xsi:type="dcterms:W3CDTF">2015-06-01T08:41:00Z</dcterms:created>
  <dcterms:modified xsi:type="dcterms:W3CDTF">2019-11-12T12:07:00Z</dcterms:modified>
</cp:coreProperties>
</file>